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B8" w:rsidRDefault="008512B8" w:rsidP="00167022">
      <w:pPr>
        <w:jc w:val="center"/>
        <w:rPr>
          <w:rFonts w:ascii="Times New Roman" w:hAnsi="Times New Roman" w:cs="Times New Roman"/>
          <w:b/>
          <w:sz w:val="32"/>
          <w:szCs w:val="24"/>
        </w:rPr>
      </w:pPr>
      <w:r w:rsidRPr="00210F18">
        <w:rPr>
          <w:rFonts w:ascii="Times New Roman" w:hAnsi="Times New Roman" w:cs="Times New Roman"/>
          <w:b/>
          <w:sz w:val="32"/>
          <w:szCs w:val="24"/>
        </w:rPr>
        <w:t xml:space="preserve">Vaginal TM7 </w:t>
      </w:r>
      <w:r w:rsidR="00352457">
        <w:rPr>
          <w:rFonts w:ascii="Times New Roman" w:hAnsi="Times New Roman" w:cs="Times New Roman"/>
          <w:b/>
          <w:sz w:val="32"/>
          <w:szCs w:val="24"/>
        </w:rPr>
        <w:t>and the absorption of amino acids</w:t>
      </w:r>
      <w:r w:rsidRPr="00210F18">
        <w:rPr>
          <w:rFonts w:ascii="Times New Roman" w:hAnsi="Times New Roman" w:cs="Times New Roman"/>
          <w:b/>
          <w:sz w:val="32"/>
          <w:szCs w:val="24"/>
        </w:rPr>
        <w:t>.</w:t>
      </w:r>
    </w:p>
    <w:p w:rsidR="007C7EB0" w:rsidRPr="007C7EB0" w:rsidRDefault="007C7EB0" w:rsidP="007C7EB0">
      <w:pPr>
        <w:rPr>
          <w:rFonts w:ascii="Times New Roman" w:hAnsi="Times New Roman" w:cs="Times New Roman"/>
          <w:b/>
          <w:sz w:val="28"/>
          <w:szCs w:val="24"/>
        </w:rPr>
      </w:pPr>
      <w:r w:rsidRPr="007C7EB0">
        <w:rPr>
          <w:rFonts w:ascii="Times New Roman" w:hAnsi="Times New Roman" w:cs="Times New Roman"/>
          <w:b/>
          <w:sz w:val="28"/>
          <w:szCs w:val="24"/>
        </w:rPr>
        <w:t>Introduction</w:t>
      </w:r>
    </w:p>
    <w:p w:rsidR="004475A1" w:rsidRPr="00574446" w:rsidRDefault="004475A1" w:rsidP="00574446">
      <w:pPr>
        <w:ind w:firstLine="720"/>
        <w:rPr>
          <w:rFonts w:ascii="Times New Roman" w:hAnsi="Times New Roman" w:cs="Times New Roman"/>
          <w:sz w:val="24"/>
          <w:szCs w:val="24"/>
        </w:rPr>
      </w:pPr>
      <w:r w:rsidRPr="00574446">
        <w:rPr>
          <w:rFonts w:ascii="Times New Roman" w:hAnsi="Times New Roman" w:cs="Times New Roman"/>
          <w:sz w:val="24"/>
          <w:szCs w:val="24"/>
        </w:rPr>
        <w:t xml:space="preserve">Bacterial Vaginosis is an abnormal condition, in which naturally occurring bacteria is depleted resulting in an unbalanced microbiome. It has been shown to affect up to 36% of women, with half of these cases being asymptomatic, where the other half reported a “fishy-smelling” discharge (Hay). Bacterial Vaginosis occurs when there is a depletion of Lactobacillus, and an overgrowth of anaerobes which results in a loss of acidity. Lactobacillus has a protective role over the microbiome, by lowering the environmental </w:t>
      </w:r>
      <w:proofErr w:type="spellStart"/>
      <w:r w:rsidRPr="00574446">
        <w:rPr>
          <w:rFonts w:ascii="Times New Roman" w:hAnsi="Times New Roman" w:cs="Times New Roman"/>
          <w:sz w:val="24"/>
          <w:szCs w:val="24"/>
        </w:rPr>
        <w:t>pH.</w:t>
      </w:r>
      <w:proofErr w:type="spellEnd"/>
      <w:r w:rsidRPr="00574446">
        <w:rPr>
          <w:rFonts w:ascii="Times New Roman" w:hAnsi="Times New Roman" w:cs="Times New Roman"/>
          <w:sz w:val="24"/>
          <w:szCs w:val="24"/>
        </w:rPr>
        <w:t xml:space="preserve"> The disappearance of this key species and overgrowth of potentially harmful bacteria is the main marker for Bacterial Vaginosis (Ravel). One such </w:t>
      </w:r>
      <w:r w:rsidR="004318B0" w:rsidRPr="00574446">
        <w:rPr>
          <w:rFonts w:ascii="Times New Roman" w:hAnsi="Times New Roman" w:cs="Times New Roman"/>
          <w:sz w:val="24"/>
          <w:szCs w:val="24"/>
        </w:rPr>
        <w:t xml:space="preserve">anaerobic </w:t>
      </w:r>
      <w:r w:rsidRPr="00574446">
        <w:rPr>
          <w:rFonts w:ascii="Times New Roman" w:hAnsi="Times New Roman" w:cs="Times New Roman"/>
          <w:sz w:val="24"/>
          <w:szCs w:val="24"/>
        </w:rPr>
        <w:t xml:space="preserve">microbes is the vaginal TM7 strand. TM7 is a division of the bacteria domain, which has been associated with other human mucosal inflammatory diseases in addition to vaginosis, such as; inflammatory bowel disease and periodontitis (He). </w:t>
      </w:r>
    </w:p>
    <w:p w:rsidR="004318B0" w:rsidRPr="00574446" w:rsidRDefault="004D1226" w:rsidP="00574446">
      <w:pPr>
        <w:ind w:firstLine="720"/>
        <w:rPr>
          <w:rFonts w:ascii="Times New Roman" w:hAnsi="Times New Roman" w:cs="Times New Roman"/>
          <w:b/>
          <w:sz w:val="28"/>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596148CC" wp14:editId="04329AFF">
            <wp:simplePos x="0" y="0"/>
            <wp:positionH relativeFrom="margin">
              <wp:align>right</wp:align>
            </wp:positionH>
            <wp:positionV relativeFrom="paragraph">
              <wp:posOffset>2228215</wp:posOffset>
            </wp:positionV>
            <wp:extent cx="2371725" cy="23107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2310765"/>
                    </a:xfrm>
                    <a:prstGeom prst="rect">
                      <a:avLst/>
                    </a:prstGeom>
                    <a:noFill/>
                  </pic:spPr>
                </pic:pic>
              </a:graphicData>
            </a:graphic>
          </wp:anchor>
        </w:drawing>
      </w:r>
      <w:r w:rsidR="004318B0" w:rsidRPr="00574446">
        <w:rPr>
          <w:rFonts w:ascii="Times New Roman" w:hAnsi="Times New Roman" w:cs="Times New Roman"/>
          <w:sz w:val="24"/>
          <w:szCs w:val="24"/>
        </w:rPr>
        <w:t>TM7 is characterized by its environmental 16s ribosomal DNA sequence (</w:t>
      </w:r>
      <w:proofErr w:type="spellStart"/>
      <w:r w:rsidR="004318B0" w:rsidRPr="00574446">
        <w:rPr>
          <w:rFonts w:ascii="Times New Roman" w:hAnsi="Times New Roman" w:cs="Times New Roman"/>
          <w:sz w:val="24"/>
          <w:szCs w:val="24"/>
        </w:rPr>
        <w:t>Hugenholtz</w:t>
      </w:r>
      <w:proofErr w:type="spellEnd"/>
      <w:r w:rsidR="004318B0" w:rsidRPr="00574446">
        <w:rPr>
          <w:rFonts w:ascii="Times New Roman" w:hAnsi="Times New Roman" w:cs="Times New Roman"/>
          <w:sz w:val="24"/>
          <w:szCs w:val="24"/>
        </w:rPr>
        <w:t>). Using this sequence, researchers are able to tag the bacteria in order to observe if it is present in a sample or not.</w:t>
      </w:r>
      <w:r w:rsidR="00DD4313">
        <w:rPr>
          <w:rFonts w:ascii="Times New Roman" w:hAnsi="Times New Roman" w:cs="Times New Roman"/>
          <w:sz w:val="24"/>
          <w:szCs w:val="24"/>
        </w:rPr>
        <w:t xml:space="preserve"> </w:t>
      </w:r>
      <w:r w:rsidR="00BE0933">
        <w:rPr>
          <w:rFonts w:ascii="Times New Roman" w:hAnsi="Times New Roman" w:cs="Times New Roman"/>
          <w:sz w:val="24"/>
          <w:szCs w:val="24"/>
        </w:rPr>
        <w:t>As a phylum, TM7 appears to be unable to synthesize any essential amino acids (He).</w:t>
      </w:r>
      <w:r w:rsidR="004318B0" w:rsidRPr="00574446">
        <w:rPr>
          <w:rFonts w:ascii="Times New Roman" w:hAnsi="Times New Roman" w:cs="Times New Roman"/>
          <w:color w:val="FF0000"/>
          <w:sz w:val="24"/>
          <w:szCs w:val="24"/>
        </w:rPr>
        <w:t xml:space="preserve"> </w:t>
      </w:r>
      <w:r w:rsidR="004318B0" w:rsidRPr="00574446">
        <w:rPr>
          <w:rFonts w:ascii="Times New Roman" w:hAnsi="Times New Roman" w:cs="Times New Roman"/>
          <w:sz w:val="24"/>
          <w:szCs w:val="24"/>
        </w:rPr>
        <w:t>TM7 is an even more unique division because it has an atypical base substitution, which makes it streptomycin resistant. Atypical base substitution occurs when a single nucleotide, in this case,</w:t>
      </w:r>
      <w:r w:rsidR="00DD4313">
        <w:rPr>
          <w:rFonts w:ascii="Times New Roman" w:hAnsi="Times New Roman" w:cs="Times New Roman"/>
          <w:color w:val="FF0000"/>
          <w:sz w:val="24"/>
          <w:szCs w:val="24"/>
        </w:rPr>
        <w:t xml:space="preserve"> </w:t>
      </w:r>
      <w:r w:rsidR="00DD4313" w:rsidRPr="00DD4313">
        <w:rPr>
          <w:rFonts w:ascii="Times New Roman" w:hAnsi="Times New Roman" w:cs="Times New Roman"/>
          <w:sz w:val="24"/>
          <w:szCs w:val="24"/>
        </w:rPr>
        <w:t>the positions 911 and 912 have adenosine and uracil (</w:t>
      </w:r>
      <w:proofErr w:type="spellStart"/>
      <w:r w:rsidR="00DD4313" w:rsidRPr="00DD4313">
        <w:rPr>
          <w:rFonts w:ascii="Times New Roman" w:hAnsi="Times New Roman" w:cs="Times New Roman"/>
          <w:sz w:val="24"/>
          <w:szCs w:val="24"/>
        </w:rPr>
        <w:t>Hugenholtz</w:t>
      </w:r>
      <w:proofErr w:type="spellEnd"/>
      <w:r w:rsidR="00DD4313" w:rsidRPr="00DD4313">
        <w:rPr>
          <w:rFonts w:ascii="Times New Roman" w:hAnsi="Times New Roman" w:cs="Times New Roman"/>
          <w:sz w:val="24"/>
          <w:szCs w:val="24"/>
        </w:rPr>
        <w:t>).</w:t>
      </w:r>
      <w:r w:rsidR="004318B0" w:rsidRPr="00DD4313">
        <w:rPr>
          <w:rFonts w:ascii="Times New Roman" w:hAnsi="Times New Roman" w:cs="Times New Roman"/>
          <w:sz w:val="24"/>
          <w:szCs w:val="24"/>
        </w:rPr>
        <w:t xml:space="preserve"> In</w:t>
      </w:r>
      <w:r w:rsidR="004318B0" w:rsidRPr="00574446">
        <w:rPr>
          <w:rFonts w:ascii="Times New Roman" w:hAnsi="Times New Roman" w:cs="Times New Roman"/>
          <w:sz w:val="24"/>
          <w:szCs w:val="24"/>
        </w:rPr>
        <w:t xml:space="preserve"> this case, it alters the point in which Streptomycin, a widely used antibiotic, would normally bind to the sequence, making the bacteria resistant. TM7 has been found in many different environments, such as, peat bog, termite gut, and wastewater, as well as having multiple strands being found within the human body (Barton). One such strand is the Oral TM7 bacteria, denoted TM7x. TM7x has been fully sequenced and studied</w:t>
      </w:r>
      <w:r w:rsidR="00BE0933">
        <w:rPr>
          <w:rFonts w:ascii="Times New Roman" w:hAnsi="Times New Roman" w:cs="Times New Roman"/>
          <w:sz w:val="24"/>
          <w:szCs w:val="24"/>
        </w:rPr>
        <w:t xml:space="preserve"> more thoroughly than other human TM7 st</w:t>
      </w:r>
      <w:r w:rsidR="00275832">
        <w:rPr>
          <w:rFonts w:ascii="Times New Roman" w:hAnsi="Times New Roman" w:cs="Times New Roman"/>
          <w:sz w:val="24"/>
          <w:szCs w:val="24"/>
        </w:rPr>
        <w:t>r</w:t>
      </w:r>
      <w:r w:rsidR="00BE0933">
        <w:rPr>
          <w:rFonts w:ascii="Times New Roman" w:hAnsi="Times New Roman" w:cs="Times New Roman"/>
          <w:sz w:val="24"/>
          <w:szCs w:val="24"/>
        </w:rPr>
        <w:t>ands</w:t>
      </w:r>
      <w:r w:rsidR="004318B0" w:rsidRPr="00574446">
        <w:rPr>
          <w:rFonts w:ascii="Times New Roman" w:hAnsi="Times New Roman" w:cs="Times New Roman"/>
          <w:sz w:val="24"/>
          <w:szCs w:val="24"/>
        </w:rPr>
        <w:t>, thus it will be a frame of reference in comparison to vaginal TM7.</w:t>
      </w:r>
    </w:p>
    <w:p w:rsidR="004318B0" w:rsidRDefault="004D1226" w:rsidP="00E50B94">
      <w:pPr>
        <w:ind w:firstLine="720"/>
        <w:rPr>
          <w:rFonts w:ascii="Times New Roman" w:hAnsi="Times New Roman" w:cs="Times New Roman"/>
          <w:sz w:val="24"/>
          <w:szCs w:val="24"/>
        </w:rPr>
      </w:pPr>
      <w:r w:rsidRPr="00210F1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519DB5A" wp14:editId="7C0103A7">
                <wp:simplePos x="0" y="0"/>
                <wp:positionH relativeFrom="column">
                  <wp:posOffset>3486150</wp:posOffset>
                </wp:positionH>
                <wp:positionV relativeFrom="paragraph">
                  <wp:posOffset>2168525</wp:posOffset>
                </wp:positionV>
                <wp:extent cx="236918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369185" cy="635"/>
                        </a:xfrm>
                        <a:prstGeom prst="rect">
                          <a:avLst/>
                        </a:prstGeom>
                        <a:solidFill>
                          <a:prstClr val="white"/>
                        </a:solidFill>
                        <a:ln>
                          <a:noFill/>
                        </a:ln>
                        <a:effectLst/>
                      </wps:spPr>
                      <wps:txbx>
                        <w:txbxContent>
                          <w:p w:rsidR="004D1226" w:rsidRDefault="004D1226" w:rsidP="004D1226">
                            <w:pPr>
                              <w:pStyle w:val="Caption"/>
                              <w:spacing w:after="0"/>
                            </w:pPr>
                            <w:r>
                              <w:t>Figure</w:t>
                            </w:r>
                            <w:r>
                              <w:t xml:space="preserve"> 1</w:t>
                            </w:r>
                            <w:r>
                              <w:t>: Comparative gene analysis of TM7x, to other non-human TM7 sequences.</w:t>
                            </w:r>
                          </w:p>
                          <w:p w:rsidR="004D1226" w:rsidRPr="00B651EE" w:rsidRDefault="004D1226" w:rsidP="004D1226">
                            <w:pPr>
                              <w:pStyle w:val="Caption"/>
                              <w:spacing w:after="0"/>
                              <w:rPr>
                                <w:noProof/>
                              </w:rPr>
                            </w:pPr>
                            <w:r>
                              <w:t xml:space="preserve"> He, fig.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519DB5A" id="_x0000_t202" coordsize="21600,21600" o:spt="202" path="m,l,21600r21600,l21600,xe">
                <v:stroke joinstyle="miter"/>
                <v:path gradientshapeok="t" o:connecttype="rect"/>
              </v:shapetype>
              <v:shape id="Text Box 4" o:spid="_x0000_s1026" type="#_x0000_t202" style="position:absolute;left:0;text-align:left;margin-left:274.5pt;margin-top:170.75pt;width:186.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" stroked="f">
                <v:textbox style="mso-fit-shape-to-text:t" inset="0,0,0,0">
                  <w:txbxContent>
                    <w:p w:rsidR="004D1226" w:rsidRDefault="004D1226" w:rsidP="004D1226">
                      <w:pPr>
                        <w:pStyle w:val="Caption"/>
                        <w:spacing w:after="0"/>
                      </w:pPr>
                      <w:r>
                        <w:t>Figure</w:t>
                      </w:r>
                      <w:r>
                        <w:t xml:space="preserve"> 1</w:t>
                      </w:r>
                      <w:r>
                        <w:t>: Comparative gene analysis of TM7x, to other non-human TM7 sequences.</w:t>
                      </w:r>
                    </w:p>
                    <w:p w:rsidR="004D1226" w:rsidRPr="00B651EE" w:rsidRDefault="004D1226" w:rsidP="004D1226">
                      <w:pPr>
                        <w:pStyle w:val="Caption"/>
                        <w:spacing w:after="0"/>
                        <w:rPr>
                          <w:noProof/>
                        </w:rPr>
                      </w:pPr>
                      <w:r>
                        <w:t xml:space="preserve"> He, fig. 2.</w:t>
                      </w:r>
                    </w:p>
                  </w:txbxContent>
                </v:textbox>
                <w10:wrap type="square"/>
              </v:shape>
            </w:pict>
          </mc:Fallback>
        </mc:AlternateContent>
      </w:r>
      <w:r w:rsidR="004318B0" w:rsidRPr="00E50B94">
        <w:rPr>
          <w:rFonts w:ascii="Times New Roman" w:hAnsi="Times New Roman" w:cs="Times New Roman"/>
          <w:sz w:val="24"/>
          <w:szCs w:val="24"/>
        </w:rPr>
        <w:t>TM7x is an obligate epibiont, which means it is an organism that can only live on the surface of another organism, in this case another bacteria;</w:t>
      </w:r>
      <w:r w:rsidR="004318B0" w:rsidRPr="00E50B94">
        <w:rPr>
          <w:rFonts w:ascii="Times New Roman" w:hAnsi="Times New Roman" w:cs="Times New Roman"/>
          <w:b/>
          <w:sz w:val="24"/>
          <w:szCs w:val="24"/>
        </w:rPr>
        <w:t xml:space="preserve"> </w:t>
      </w:r>
      <w:proofErr w:type="spellStart"/>
      <w:r w:rsidR="004318B0" w:rsidRPr="00E50B94">
        <w:rPr>
          <w:rFonts w:ascii="Times New Roman" w:hAnsi="Times New Roman" w:cs="Times New Roman"/>
          <w:sz w:val="24"/>
          <w:szCs w:val="24"/>
          <w:shd w:val="clear" w:color="auto" w:fill="FFFFFF"/>
        </w:rPr>
        <w:t>Actinomyces</w:t>
      </w:r>
      <w:proofErr w:type="spellEnd"/>
      <w:r w:rsidR="004318B0" w:rsidRPr="00E50B94">
        <w:rPr>
          <w:rStyle w:val="apple-converted-space"/>
          <w:rFonts w:ascii="Times New Roman" w:hAnsi="Times New Roman" w:cs="Times New Roman"/>
          <w:sz w:val="24"/>
          <w:szCs w:val="24"/>
          <w:shd w:val="clear" w:color="auto" w:fill="FFFFFF"/>
        </w:rPr>
        <w:t> </w:t>
      </w:r>
      <w:r w:rsidR="004318B0" w:rsidRPr="00E50B94">
        <w:rPr>
          <w:rStyle w:val="Emphasis"/>
          <w:rFonts w:ascii="Times New Roman" w:hAnsi="Times New Roman" w:cs="Times New Roman"/>
          <w:bCs/>
          <w:i w:val="0"/>
          <w:iCs w:val="0"/>
          <w:sz w:val="24"/>
          <w:szCs w:val="24"/>
          <w:shd w:val="clear" w:color="auto" w:fill="FFFFFF"/>
        </w:rPr>
        <w:t>odontolyticus (He)</w:t>
      </w:r>
      <w:r w:rsidR="004318B0" w:rsidRPr="00E50B94">
        <w:rPr>
          <w:rStyle w:val="Emphasis"/>
          <w:rFonts w:ascii="Times New Roman" w:hAnsi="Times New Roman" w:cs="Times New Roman"/>
          <w:b/>
          <w:bCs/>
          <w:i w:val="0"/>
          <w:iCs w:val="0"/>
          <w:sz w:val="24"/>
          <w:szCs w:val="24"/>
          <w:shd w:val="clear" w:color="auto" w:fill="FFFFFF"/>
        </w:rPr>
        <w:t xml:space="preserve">. </w:t>
      </w:r>
      <w:r w:rsidR="004318B0" w:rsidRPr="00E50B94">
        <w:rPr>
          <w:rFonts w:ascii="Times New Roman" w:hAnsi="Times New Roman" w:cs="Times New Roman"/>
          <w:sz w:val="24"/>
          <w:szCs w:val="24"/>
        </w:rPr>
        <w:t>Through this parasitic relationship, TM7x is able to absorb key substances it can’t naturally produce, of interest is its need to absorb amino acids. In He’s experiment it was shown that there is a large range of conserved genes, in comparison to the oral and two other non-human TM7 strands (Figure 2). This could indicate that the two human TM7’s would have an even larger range of conserved genes.</w:t>
      </w:r>
      <w:r w:rsidR="004B7D0E" w:rsidRPr="00E50B94">
        <w:rPr>
          <w:rFonts w:ascii="Times New Roman" w:hAnsi="Times New Roman" w:cs="Times New Roman"/>
          <w:sz w:val="24"/>
          <w:szCs w:val="24"/>
        </w:rPr>
        <w:t xml:space="preserve"> It’s been shown that Oral TM7 only has genetic codes to create Arginine, but no other nucleotide (Barton). </w:t>
      </w:r>
      <w:r>
        <w:rPr>
          <w:rFonts w:ascii="Times New Roman" w:hAnsi="Times New Roman" w:cs="Times New Roman"/>
          <w:sz w:val="24"/>
          <w:szCs w:val="24"/>
        </w:rPr>
        <w:t xml:space="preserve"> </w:t>
      </w:r>
      <w:r w:rsidR="004B7D0E" w:rsidRPr="00E50B94">
        <w:rPr>
          <w:rFonts w:ascii="Times New Roman" w:hAnsi="Times New Roman" w:cs="Times New Roman"/>
          <w:sz w:val="24"/>
          <w:szCs w:val="24"/>
        </w:rPr>
        <w:t xml:space="preserve">This would mean that the organism has to get other amino acids from an outside source, which </w:t>
      </w:r>
      <w:r w:rsidR="00BE0933">
        <w:rPr>
          <w:rFonts w:ascii="Times New Roman" w:hAnsi="Times New Roman" w:cs="Times New Roman"/>
          <w:sz w:val="24"/>
          <w:szCs w:val="24"/>
        </w:rPr>
        <w:t xml:space="preserve">may </w:t>
      </w:r>
      <w:r w:rsidR="004B7D0E" w:rsidRPr="00E50B94">
        <w:rPr>
          <w:rFonts w:ascii="Times New Roman" w:hAnsi="Times New Roman" w:cs="Times New Roman"/>
          <w:sz w:val="24"/>
          <w:szCs w:val="24"/>
        </w:rPr>
        <w:t>be the host cell in this case.</w:t>
      </w:r>
      <w:r w:rsidR="004318B0" w:rsidRPr="00E50B94">
        <w:rPr>
          <w:rFonts w:ascii="Times New Roman" w:hAnsi="Times New Roman" w:cs="Times New Roman"/>
          <w:sz w:val="24"/>
          <w:szCs w:val="24"/>
        </w:rPr>
        <w:t xml:space="preserve"> Therefore it may be </w:t>
      </w:r>
      <w:r w:rsidR="004318B0" w:rsidRPr="00E50B94">
        <w:rPr>
          <w:rFonts w:ascii="Times New Roman" w:hAnsi="Times New Roman" w:cs="Times New Roman"/>
          <w:sz w:val="24"/>
          <w:szCs w:val="24"/>
        </w:rPr>
        <w:lastRenderedPageBreak/>
        <w:t xml:space="preserve">likely that Vaginal Tm7 and Oral Tm7 could have the same type of parasitic relationships, and have the same type of need for amino acid acquisition.  </w:t>
      </w:r>
    </w:p>
    <w:p w:rsidR="007C7EB0" w:rsidRDefault="007C7EB0" w:rsidP="00E50B94">
      <w:pPr>
        <w:ind w:firstLine="720"/>
        <w:rPr>
          <w:rFonts w:ascii="Times New Roman" w:hAnsi="Times New Roman" w:cs="Times New Roman"/>
          <w:sz w:val="24"/>
          <w:szCs w:val="24"/>
        </w:rPr>
      </w:pPr>
    </w:p>
    <w:p w:rsidR="007C7EB0" w:rsidRPr="007C7EB0" w:rsidRDefault="007C7EB0" w:rsidP="007C7EB0">
      <w:pPr>
        <w:rPr>
          <w:rFonts w:ascii="Times New Roman" w:hAnsi="Times New Roman" w:cs="Times New Roman"/>
          <w:b/>
          <w:sz w:val="28"/>
          <w:szCs w:val="24"/>
        </w:rPr>
      </w:pPr>
      <w:r w:rsidRPr="007C7EB0">
        <w:rPr>
          <w:rFonts w:ascii="Times New Roman" w:hAnsi="Times New Roman" w:cs="Times New Roman"/>
          <w:b/>
          <w:sz w:val="28"/>
          <w:szCs w:val="24"/>
        </w:rPr>
        <w:t>Experiment</w:t>
      </w:r>
    </w:p>
    <w:p w:rsidR="004B7D0E" w:rsidRDefault="004B7D0E" w:rsidP="00275832">
      <w:pPr>
        <w:ind w:firstLine="720"/>
        <w:rPr>
          <w:rFonts w:ascii="Times New Roman" w:hAnsi="Times New Roman" w:cs="Times New Roman"/>
          <w:sz w:val="24"/>
          <w:szCs w:val="24"/>
        </w:rPr>
      </w:pPr>
      <w:r w:rsidRPr="00275832">
        <w:rPr>
          <w:rFonts w:ascii="Times New Roman" w:hAnsi="Times New Roman" w:cs="Times New Roman"/>
          <w:sz w:val="24"/>
          <w:szCs w:val="24"/>
        </w:rPr>
        <w:t xml:space="preserve">The purpose of this experiment is to determine </w:t>
      </w:r>
      <w:r w:rsidR="00275832">
        <w:rPr>
          <w:rFonts w:ascii="Times New Roman" w:hAnsi="Times New Roman" w:cs="Times New Roman"/>
          <w:sz w:val="24"/>
          <w:szCs w:val="24"/>
        </w:rPr>
        <w:t xml:space="preserve">if TM7 extracts amino acids from the environment, or from its host cell. </w:t>
      </w:r>
      <w:r w:rsidRPr="00275832">
        <w:rPr>
          <w:rFonts w:ascii="Times New Roman" w:hAnsi="Times New Roman" w:cs="Times New Roman"/>
          <w:sz w:val="24"/>
          <w:szCs w:val="24"/>
        </w:rPr>
        <w:t>The first step in this process, it to determine what the host of Vaginal TM7 is. This is done by first identifying which bacteria is present in the samples collected from vaginal secretions. Bacterial colonies are collec</w:t>
      </w:r>
      <w:r w:rsidR="00350160">
        <w:rPr>
          <w:rFonts w:ascii="Times New Roman" w:hAnsi="Times New Roman" w:cs="Times New Roman"/>
          <w:sz w:val="24"/>
          <w:szCs w:val="24"/>
        </w:rPr>
        <w:t xml:space="preserve">ted from women using swabs and analyzed using the protocol described in Lindau et al (2008). </w:t>
      </w:r>
      <w:r w:rsidRPr="00275832">
        <w:rPr>
          <w:rFonts w:ascii="Times New Roman" w:hAnsi="Times New Roman" w:cs="Times New Roman"/>
          <w:sz w:val="24"/>
          <w:szCs w:val="24"/>
        </w:rPr>
        <w:t xml:space="preserve">These samples are then analyzed to determine which bacteria is present and in what quantity. Based on this data, the correlation can be tested, between TM7 and any other bacteria. The correlation is based on the ratio between how much of the potential host is actually found in the sample versus the expected amount. The higher this ratio is, the more probable it is be the host for TM7. </w:t>
      </w:r>
    </w:p>
    <w:p w:rsidR="004D1226" w:rsidRDefault="00350160" w:rsidP="004D1226">
      <w:pPr>
        <w:keepNext/>
        <w:ind w:firstLine="720"/>
      </w:pPr>
      <w:r>
        <w:rPr>
          <w:rFonts w:ascii="Times New Roman" w:hAnsi="Times New Roman" w:cs="Times New Roman"/>
          <w:sz w:val="24"/>
          <w:szCs w:val="24"/>
        </w:rPr>
        <w:t xml:space="preserve">The second step, is to determine how the TM7 actually absorbs the amino acids. This can be done, by first growing the host cell in a solution of </w:t>
      </w:r>
      <w:r w:rsidR="001313E1">
        <w:rPr>
          <w:rFonts w:ascii="Times New Roman" w:hAnsi="Times New Roman" w:cs="Times New Roman"/>
          <w:sz w:val="24"/>
          <w:szCs w:val="24"/>
        </w:rPr>
        <w:t>14</w:t>
      </w:r>
      <w:r w:rsidR="00B96294">
        <w:rPr>
          <w:rFonts w:ascii="Times New Roman" w:hAnsi="Times New Roman" w:cs="Times New Roman"/>
          <w:sz w:val="24"/>
          <w:szCs w:val="24"/>
        </w:rPr>
        <w:t>C</w:t>
      </w:r>
      <w:r w:rsidR="001313E1">
        <w:rPr>
          <w:rFonts w:ascii="Times New Roman" w:hAnsi="Times New Roman" w:cs="Times New Roman"/>
          <w:sz w:val="24"/>
          <w:szCs w:val="24"/>
        </w:rPr>
        <w:t xml:space="preserve"> labeled amino ac</w:t>
      </w:r>
      <w:r w:rsidR="00167B0F">
        <w:rPr>
          <w:rFonts w:ascii="Times New Roman" w:hAnsi="Times New Roman" w:cs="Times New Roman"/>
          <w:sz w:val="24"/>
          <w:szCs w:val="24"/>
        </w:rPr>
        <w:t>ids, this is marked in figure 2</w:t>
      </w:r>
      <w:r w:rsidR="001313E1">
        <w:rPr>
          <w:rFonts w:ascii="Times New Roman" w:hAnsi="Times New Roman" w:cs="Times New Roman"/>
          <w:sz w:val="24"/>
          <w:szCs w:val="24"/>
        </w:rPr>
        <w:t xml:space="preserve">A. Once a sufficient enough time has passed for the host to absorb the labeled amino acids, the host is removed and put in a normal solution, marked in figure 2B. To this, is added TM7 so it can naturally bind to the host again then these combined cells are </w:t>
      </w:r>
      <w:r w:rsidR="00167B0F">
        <w:rPr>
          <w:rFonts w:ascii="Times New Roman" w:hAnsi="Times New Roman" w:cs="Times New Roman"/>
          <w:sz w:val="24"/>
          <w:szCs w:val="24"/>
        </w:rPr>
        <w:t>immediately</w:t>
      </w:r>
      <w:r w:rsidR="001313E1">
        <w:rPr>
          <w:rFonts w:ascii="Times New Roman" w:hAnsi="Times New Roman" w:cs="Times New Roman"/>
          <w:sz w:val="24"/>
          <w:szCs w:val="24"/>
        </w:rPr>
        <w:t xml:space="preserve"> put into a solution of </w:t>
      </w:r>
      <w:r w:rsidR="00B96294">
        <w:rPr>
          <w:rFonts w:ascii="Times New Roman" w:hAnsi="Times New Roman" w:cs="Times New Roman"/>
          <w:sz w:val="24"/>
          <w:szCs w:val="24"/>
        </w:rPr>
        <w:t xml:space="preserve">15N </w:t>
      </w:r>
      <w:r w:rsidR="001313E1">
        <w:rPr>
          <w:rFonts w:ascii="Times New Roman" w:hAnsi="Times New Roman" w:cs="Times New Roman"/>
          <w:sz w:val="24"/>
          <w:szCs w:val="24"/>
        </w:rPr>
        <w:t>labeled amino acids</w:t>
      </w:r>
      <w:r w:rsidR="00306D58">
        <w:rPr>
          <w:rFonts w:ascii="Times New Roman" w:hAnsi="Times New Roman" w:cs="Times New Roman"/>
          <w:sz w:val="24"/>
          <w:szCs w:val="24"/>
        </w:rPr>
        <w:t xml:space="preserve"> (</w:t>
      </w:r>
      <w:proofErr w:type="spellStart"/>
      <w:r w:rsidR="00306D58">
        <w:rPr>
          <w:rFonts w:ascii="Times New Roman" w:hAnsi="Times New Roman" w:cs="Times New Roman"/>
          <w:sz w:val="24"/>
          <w:szCs w:val="24"/>
        </w:rPr>
        <w:t>Gaudin</w:t>
      </w:r>
      <w:proofErr w:type="spellEnd"/>
      <w:r w:rsidR="00306D58">
        <w:rPr>
          <w:rFonts w:ascii="Times New Roman" w:hAnsi="Times New Roman" w:cs="Times New Roman"/>
          <w:sz w:val="24"/>
          <w:szCs w:val="24"/>
        </w:rPr>
        <w:t>)</w:t>
      </w:r>
      <w:r w:rsidR="00167B0F">
        <w:rPr>
          <w:rFonts w:ascii="Times New Roman" w:hAnsi="Times New Roman" w:cs="Times New Roman"/>
          <w:sz w:val="24"/>
          <w:szCs w:val="24"/>
        </w:rPr>
        <w:t>, shown in figure 2C</w:t>
      </w:r>
      <w:r w:rsidR="001313E1">
        <w:rPr>
          <w:rFonts w:ascii="Times New Roman" w:hAnsi="Times New Roman" w:cs="Times New Roman"/>
          <w:sz w:val="24"/>
          <w:szCs w:val="24"/>
        </w:rPr>
        <w:t xml:space="preserve">. Again, enough time is allotted for </w:t>
      </w:r>
      <w:r w:rsidR="00167B0F">
        <w:rPr>
          <w:rFonts w:ascii="Times New Roman" w:hAnsi="Times New Roman" w:cs="Times New Roman"/>
          <w:sz w:val="24"/>
          <w:szCs w:val="24"/>
        </w:rPr>
        <w:t xml:space="preserve">the TM7 to absorb the necessary amino acids. After this time, the TM7 is separated and analyzed to see the amino acid content. </w:t>
      </w:r>
      <w:r w:rsidR="00913579">
        <w:rPr>
          <w:noProof/>
        </w:rPr>
        <w:drawing>
          <wp:inline distT="0" distB="0" distL="0" distR="0" wp14:anchorId="5E449047" wp14:editId="075FEBC2">
            <wp:extent cx="5937885" cy="110426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104265"/>
                    </a:xfrm>
                    <a:prstGeom prst="rect">
                      <a:avLst/>
                    </a:prstGeom>
                    <a:noFill/>
                    <a:ln>
                      <a:noFill/>
                    </a:ln>
                  </pic:spPr>
                </pic:pic>
              </a:graphicData>
            </a:graphic>
          </wp:inline>
        </w:drawing>
      </w:r>
    </w:p>
    <w:p w:rsidR="00350160" w:rsidRDefault="004D1226" w:rsidP="004D1226">
      <w:pPr>
        <w:pStyle w:val="Caption"/>
        <w:rPr>
          <w:rFonts w:ascii="Times New Roman" w:hAnsi="Times New Roman" w:cs="Times New Roman"/>
          <w:sz w:val="24"/>
          <w:szCs w:val="24"/>
        </w:rPr>
      </w:pPr>
      <w:r>
        <w:t xml:space="preserve">Figure 2. A) Host cell, determined in step 1, grown in a solution of 14C labeled amino acids. B) 14C labeled host cells with TM7 attached in a natural solution. C) TM7 attached to host cells in a solution of 15N amino acids. </w:t>
      </w:r>
      <w:bookmarkStart w:id="0" w:name="_GoBack"/>
      <w:bookmarkEnd w:id="0"/>
    </w:p>
    <w:p w:rsidR="003A13D0" w:rsidRDefault="00167B0F" w:rsidP="003A13D0">
      <w:pPr>
        <w:ind w:firstLine="720"/>
        <w:rPr>
          <w:rFonts w:ascii="Times New Roman" w:hAnsi="Times New Roman" w:cs="Times New Roman"/>
          <w:sz w:val="24"/>
          <w:szCs w:val="24"/>
        </w:rPr>
      </w:pPr>
      <w:r>
        <w:rPr>
          <w:rFonts w:ascii="Times New Roman" w:hAnsi="Times New Roman" w:cs="Times New Roman"/>
          <w:sz w:val="24"/>
          <w:szCs w:val="24"/>
        </w:rPr>
        <w:t>Compari</w:t>
      </w:r>
      <w:r w:rsidR="00913579">
        <w:rPr>
          <w:rFonts w:ascii="Times New Roman" w:hAnsi="Times New Roman" w:cs="Times New Roman"/>
          <w:sz w:val="24"/>
          <w:szCs w:val="24"/>
        </w:rPr>
        <w:t xml:space="preserve">ng the </w:t>
      </w:r>
      <w:r w:rsidR="003A13D0">
        <w:rPr>
          <w:rFonts w:ascii="Times New Roman" w:hAnsi="Times New Roman" w:cs="Times New Roman"/>
          <w:sz w:val="24"/>
          <w:szCs w:val="24"/>
        </w:rPr>
        <w:t>two amount</w:t>
      </w:r>
      <w:r w:rsidR="00B96294">
        <w:rPr>
          <w:rFonts w:ascii="Times New Roman" w:hAnsi="Times New Roman" w:cs="Times New Roman"/>
          <w:sz w:val="24"/>
          <w:szCs w:val="24"/>
        </w:rPr>
        <w:t>, through mass spectrometry,</w:t>
      </w:r>
      <w:r w:rsidR="003A13D0">
        <w:rPr>
          <w:rFonts w:ascii="Times New Roman" w:hAnsi="Times New Roman" w:cs="Times New Roman"/>
          <w:sz w:val="24"/>
          <w:szCs w:val="24"/>
        </w:rPr>
        <w:t xml:space="preserve"> will show where the </w:t>
      </w:r>
      <w:r w:rsidR="00306D58">
        <w:rPr>
          <w:rFonts w:ascii="Times New Roman" w:hAnsi="Times New Roman" w:cs="Times New Roman"/>
          <w:sz w:val="24"/>
          <w:szCs w:val="24"/>
        </w:rPr>
        <w:t>TM7 is getting its amino acids. This is</w:t>
      </w:r>
      <w:r w:rsidR="00913579">
        <w:rPr>
          <w:rFonts w:ascii="Times New Roman" w:hAnsi="Times New Roman" w:cs="Times New Roman"/>
          <w:sz w:val="24"/>
          <w:szCs w:val="24"/>
        </w:rPr>
        <w:t xml:space="preserve"> because the two different </w:t>
      </w:r>
      <w:r w:rsidR="00306D58">
        <w:rPr>
          <w:rFonts w:ascii="Times New Roman" w:hAnsi="Times New Roman" w:cs="Times New Roman"/>
          <w:sz w:val="24"/>
          <w:szCs w:val="24"/>
        </w:rPr>
        <w:t>sources</w:t>
      </w:r>
      <w:r w:rsidR="00913579">
        <w:rPr>
          <w:rFonts w:ascii="Times New Roman" w:hAnsi="Times New Roman" w:cs="Times New Roman"/>
          <w:sz w:val="24"/>
          <w:szCs w:val="24"/>
        </w:rPr>
        <w:t xml:space="preserve"> are both labeled differently</w:t>
      </w:r>
      <w:r w:rsidR="00306D58">
        <w:rPr>
          <w:rFonts w:ascii="Times New Roman" w:hAnsi="Times New Roman" w:cs="Times New Roman"/>
          <w:sz w:val="24"/>
          <w:szCs w:val="24"/>
        </w:rPr>
        <w:t xml:space="preserve"> weighted tags.</w:t>
      </w:r>
    </w:p>
    <w:p w:rsidR="00350160" w:rsidRDefault="00BB0202" w:rsidP="001313E1">
      <w:pPr>
        <w:rPr>
          <w:rFonts w:ascii="Times New Roman" w:hAnsi="Times New Roman" w:cs="Times New Roman"/>
          <w:sz w:val="24"/>
          <w:szCs w:val="24"/>
        </w:rPr>
      </w:pPr>
      <w:r w:rsidRPr="003A13D0">
        <w:rPr>
          <w:rFonts w:ascii="Times New Roman" w:hAnsi="Times New Roman" w:cs="Times New Roman"/>
          <w:b/>
          <w:sz w:val="28"/>
          <w:szCs w:val="24"/>
        </w:rPr>
        <w:t>Results</w:t>
      </w:r>
    </w:p>
    <w:p w:rsidR="00A2607C" w:rsidRDefault="003A13D0" w:rsidP="001313E1">
      <w:pPr>
        <w:rPr>
          <w:rFonts w:ascii="Times New Roman" w:hAnsi="Times New Roman" w:cs="Times New Roman"/>
          <w:sz w:val="24"/>
          <w:szCs w:val="24"/>
        </w:rPr>
      </w:pPr>
      <w:r>
        <w:rPr>
          <w:rFonts w:ascii="Times New Roman" w:hAnsi="Times New Roman" w:cs="Times New Roman"/>
          <w:sz w:val="24"/>
          <w:szCs w:val="24"/>
        </w:rPr>
        <w:tab/>
        <w:t>Either of the results would lead to interesting discoveries and possibilities for future research. If it’s found to contain more of the environmental amino acids, we know that there is some sort of mechanism on the cell membrane that allows for the absorption.</w:t>
      </w:r>
      <w:r w:rsidR="00A2607C">
        <w:rPr>
          <w:rFonts w:ascii="Times New Roman" w:hAnsi="Times New Roman" w:cs="Times New Roman"/>
          <w:sz w:val="24"/>
          <w:szCs w:val="24"/>
        </w:rPr>
        <w:t xml:space="preserve"> On the other hand, if there is more of the C14 labeled amino acids, then there is some sort of transporter between the two cells.</w:t>
      </w:r>
      <w:r w:rsidR="00306D58">
        <w:rPr>
          <w:rFonts w:ascii="Times New Roman" w:hAnsi="Times New Roman" w:cs="Times New Roman"/>
          <w:sz w:val="24"/>
          <w:szCs w:val="24"/>
        </w:rPr>
        <w:t xml:space="preserve"> There could be some mingling between the two labeled amino acids, in which there was some leakage of C14 into the environment, or some absorption of N15 by the host. But this </w:t>
      </w:r>
      <w:r w:rsidR="00306D58">
        <w:rPr>
          <w:rFonts w:ascii="Times New Roman" w:hAnsi="Times New Roman" w:cs="Times New Roman"/>
          <w:sz w:val="24"/>
          <w:szCs w:val="24"/>
        </w:rPr>
        <w:lastRenderedPageBreak/>
        <w:t>can be ignored, in part, because it will be in such a small amount in comparison to where the bacteria is absorbing the most amount of amino acids.</w:t>
      </w:r>
      <w:r w:rsidR="00A2607C">
        <w:rPr>
          <w:rFonts w:ascii="Times New Roman" w:hAnsi="Times New Roman" w:cs="Times New Roman"/>
          <w:sz w:val="24"/>
          <w:szCs w:val="24"/>
        </w:rPr>
        <w:t xml:space="preserve"> Both of these cases can be further studied o</w:t>
      </w:r>
      <w:r w:rsidR="00306D58">
        <w:rPr>
          <w:rFonts w:ascii="Times New Roman" w:hAnsi="Times New Roman" w:cs="Times New Roman"/>
          <w:sz w:val="24"/>
          <w:szCs w:val="24"/>
        </w:rPr>
        <w:t xml:space="preserve">nce this experiment takes place to determine the types of mechanism that could be at play. </w:t>
      </w:r>
    </w:p>
    <w:p w:rsidR="00306D58" w:rsidRPr="003A13D0" w:rsidRDefault="00A2607C" w:rsidP="001313E1">
      <w:pPr>
        <w:rPr>
          <w:rFonts w:ascii="Times New Roman" w:hAnsi="Times New Roman" w:cs="Times New Roman"/>
          <w:sz w:val="24"/>
          <w:szCs w:val="24"/>
        </w:rPr>
      </w:pPr>
      <w:r>
        <w:rPr>
          <w:rFonts w:ascii="Times New Roman" w:hAnsi="Times New Roman" w:cs="Times New Roman"/>
          <w:sz w:val="24"/>
          <w:szCs w:val="24"/>
        </w:rPr>
        <w:tab/>
        <w:t xml:space="preserve">This information is of interest, because TM7 has such a high level of conserved DNA. Meaning that this one discovery could </w:t>
      </w:r>
      <w:r w:rsidR="007C7EB0">
        <w:rPr>
          <w:rFonts w:ascii="Times New Roman" w:hAnsi="Times New Roman" w:cs="Times New Roman"/>
          <w:sz w:val="24"/>
          <w:szCs w:val="24"/>
        </w:rPr>
        <w:t>be linked to other TM7 strands.</w:t>
      </w:r>
    </w:p>
    <w:p w:rsidR="009D5AAB" w:rsidRPr="00210F18" w:rsidRDefault="009D5AAB" w:rsidP="002158C6">
      <w:pPr>
        <w:rPr>
          <w:rFonts w:ascii="Times New Roman" w:hAnsi="Times New Roman" w:cs="Times New Roman"/>
          <w:b/>
          <w:sz w:val="24"/>
          <w:szCs w:val="24"/>
        </w:rPr>
      </w:pPr>
    </w:p>
    <w:p w:rsidR="004B7D0E" w:rsidRDefault="002158C6" w:rsidP="004B7D0E">
      <w:pPr>
        <w:rPr>
          <w:rFonts w:ascii="Times New Roman" w:hAnsi="Times New Roman" w:cs="Times New Roman"/>
          <w:color w:val="222222"/>
          <w:sz w:val="24"/>
          <w:szCs w:val="24"/>
          <w:shd w:val="clear" w:color="auto" w:fill="FFFFFF"/>
        </w:rPr>
      </w:pPr>
      <w:r w:rsidRPr="00210F18">
        <w:rPr>
          <w:rFonts w:ascii="Times New Roman" w:hAnsi="Times New Roman" w:cs="Times New Roman"/>
          <w:b/>
          <w:sz w:val="24"/>
          <w:szCs w:val="24"/>
        </w:rPr>
        <w:t xml:space="preserve">References </w:t>
      </w:r>
    </w:p>
    <w:p w:rsidR="00210F18" w:rsidRPr="008F354A" w:rsidRDefault="0095334C" w:rsidP="004B7D0E">
      <w:pPr>
        <w:rPr>
          <w:rFonts w:ascii="Times New Roman" w:hAnsi="Times New Roman" w:cs="Times New Roman"/>
          <w:sz w:val="24"/>
          <w:szCs w:val="24"/>
        </w:rPr>
      </w:pPr>
      <w:r w:rsidRPr="008F354A">
        <w:rPr>
          <w:rFonts w:ascii="Times New Roman" w:hAnsi="Times New Roman" w:cs="Times New Roman"/>
          <w:sz w:val="24"/>
          <w:szCs w:val="24"/>
        </w:rPr>
        <w:t xml:space="preserve">Barton, D (2010) Uncultivated Environmental TM7 Model </w:t>
      </w:r>
      <w:proofErr w:type="gramStart"/>
      <w:r w:rsidRPr="008F354A">
        <w:rPr>
          <w:rFonts w:ascii="Times New Roman" w:hAnsi="Times New Roman" w:cs="Times New Roman"/>
          <w:sz w:val="24"/>
          <w:szCs w:val="24"/>
        </w:rPr>
        <w:t>To</w:t>
      </w:r>
      <w:proofErr w:type="gramEnd"/>
      <w:r w:rsidRPr="008F354A">
        <w:rPr>
          <w:rFonts w:ascii="Times New Roman" w:hAnsi="Times New Roman" w:cs="Times New Roman"/>
          <w:sz w:val="24"/>
          <w:szCs w:val="24"/>
        </w:rPr>
        <w:t xml:space="preserve"> Study Human Disease-Associated </w:t>
      </w:r>
    </w:p>
    <w:p w:rsidR="005B30B0" w:rsidRDefault="0095334C" w:rsidP="004B7D0E">
      <w:pPr>
        <w:ind w:firstLine="720"/>
        <w:rPr>
          <w:rFonts w:ascii="Times New Roman" w:hAnsi="Times New Roman" w:cs="Times New Roman"/>
          <w:sz w:val="24"/>
          <w:szCs w:val="24"/>
        </w:rPr>
      </w:pPr>
      <w:r w:rsidRPr="008F354A">
        <w:rPr>
          <w:rFonts w:ascii="Times New Roman" w:hAnsi="Times New Roman" w:cs="Times New Roman"/>
          <w:sz w:val="24"/>
          <w:szCs w:val="24"/>
        </w:rPr>
        <w:t>TM7</w:t>
      </w:r>
      <w:r w:rsidR="00210F18" w:rsidRPr="008F354A">
        <w:rPr>
          <w:rFonts w:ascii="Times New Roman" w:hAnsi="Times New Roman" w:cs="Times New Roman"/>
          <w:sz w:val="24"/>
          <w:szCs w:val="24"/>
        </w:rPr>
        <w:t xml:space="preserve"> </w:t>
      </w:r>
      <w:r w:rsidRPr="008F354A">
        <w:rPr>
          <w:rFonts w:ascii="Times New Roman" w:hAnsi="Times New Roman" w:cs="Times New Roman"/>
          <w:sz w:val="24"/>
          <w:szCs w:val="24"/>
        </w:rPr>
        <w:t xml:space="preserve">Bacteria. SJSU </w:t>
      </w:r>
      <w:proofErr w:type="spellStart"/>
      <w:r w:rsidRPr="008F354A">
        <w:rPr>
          <w:rFonts w:ascii="Times New Roman" w:hAnsi="Times New Roman" w:cs="Times New Roman"/>
          <w:sz w:val="24"/>
          <w:szCs w:val="24"/>
        </w:rPr>
        <w:t>ScholarWorks</w:t>
      </w:r>
      <w:proofErr w:type="spellEnd"/>
      <w:r w:rsidRPr="008F354A">
        <w:rPr>
          <w:rFonts w:ascii="Times New Roman" w:hAnsi="Times New Roman" w:cs="Times New Roman"/>
          <w:sz w:val="24"/>
          <w:szCs w:val="24"/>
        </w:rPr>
        <w:t>, Master’s Theses.</w:t>
      </w:r>
    </w:p>
    <w:p w:rsidR="00306D58" w:rsidRDefault="00306D58" w:rsidP="00306D58">
      <w:pPr>
        <w:rPr>
          <w:rFonts w:ascii="Times New Roman" w:hAnsi="Times New Roman" w:cs="Times New Roman"/>
          <w:sz w:val="24"/>
          <w:szCs w:val="24"/>
        </w:rPr>
      </w:pPr>
      <w:proofErr w:type="spellStart"/>
      <w:r>
        <w:rPr>
          <w:rFonts w:ascii="Times New Roman" w:hAnsi="Times New Roman" w:cs="Times New Roman"/>
          <w:sz w:val="24"/>
          <w:szCs w:val="24"/>
        </w:rPr>
        <w:t>Gaudin</w:t>
      </w:r>
      <w:proofErr w:type="spellEnd"/>
      <w:r>
        <w:rPr>
          <w:rFonts w:ascii="Times New Roman" w:hAnsi="Times New Roman" w:cs="Times New Roman"/>
          <w:sz w:val="24"/>
          <w:szCs w:val="24"/>
        </w:rPr>
        <w:t xml:space="preserve">, Z., et al (2014) </w:t>
      </w:r>
      <w:r w:rsidRPr="00306D58">
        <w:rPr>
          <w:rFonts w:ascii="Times New Roman" w:hAnsi="Times New Roman" w:cs="Times New Roman"/>
          <w:sz w:val="24"/>
          <w:szCs w:val="24"/>
        </w:rPr>
        <w:t>Robust Method for Investiga</w:t>
      </w:r>
      <w:r>
        <w:rPr>
          <w:rFonts w:ascii="Times New Roman" w:hAnsi="Times New Roman" w:cs="Times New Roman"/>
          <w:sz w:val="24"/>
          <w:szCs w:val="24"/>
        </w:rPr>
        <w:t xml:space="preserve">ting Nitrogen Metabolism of 15N </w:t>
      </w:r>
      <w:r w:rsidRPr="00306D58">
        <w:rPr>
          <w:rFonts w:ascii="Times New Roman" w:hAnsi="Times New Roman" w:cs="Times New Roman"/>
          <w:sz w:val="24"/>
          <w:szCs w:val="24"/>
        </w:rPr>
        <w:t xml:space="preserve">Labeled </w:t>
      </w:r>
    </w:p>
    <w:p w:rsidR="00306D58" w:rsidRDefault="00306D58" w:rsidP="00306D58">
      <w:pPr>
        <w:ind w:firstLine="720"/>
        <w:rPr>
          <w:rFonts w:ascii="Times New Roman" w:hAnsi="Times New Roman" w:cs="Times New Roman"/>
          <w:sz w:val="24"/>
          <w:szCs w:val="24"/>
        </w:rPr>
      </w:pPr>
      <w:r w:rsidRPr="00306D58">
        <w:rPr>
          <w:rFonts w:ascii="Times New Roman" w:hAnsi="Times New Roman" w:cs="Times New Roman"/>
          <w:sz w:val="24"/>
          <w:szCs w:val="24"/>
        </w:rPr>
        <w:t xml:space="preserve">Amino Acids Using </w:t>
      </w:r>
      <w:proofErr w:type="spellStart"/>
      <w:r w:rsidRPr="00306D58">
        <w:rPr>
          <w:rFonts w:ascii="Times New Roman" w:hAnsi="Times New Roman" w:cs="Times New Roman"/>
          <w:sz w:val="24"/>
          <w:szCs w:val="24"/>
        </w:rPr>
        <w:t>AccQ•Tag</w:t>
      </w:r>
      <w:proofErr w:type="spellEnd"/>
      <w:r w:rsidRPr="00306D58">
        <w:rPr>
          <w:rFonts w:ascii="Times New Roman" w:hAnsi="Times New Roman" w:cs="Times New Roman"/>
          <w:sz w:val="24"/>
          <w:szCs w:val="24"/>
        </w:rPr>
        <w:t xml:space="preserve"> Ultra Performance Liquid</w:t>
      </w:r>
      <w:r>
        <w:rPr>
          <w:rFonts w:ascii="Times New Roman" w:hAnsi="Times New Roman" w:cs="Times New Roman"/>
          <w:sz w:val="24"/>
          <w:szCs w:val="24"/>
        </w:rPr>
        <w:t xml:space="preserve"> </w:t>
      </w:r>
      <w:r w:rsidRPr="00306D58">
        <w:rPr>
          <w:rFonts w:ascii="Times New Roman" w:hAnsi="Times New Roman" w:cs="Times New Roman"/>
          <w:sz w:val="24"/>
          <w:szCs w:val="24"/>
        </w:rPr>
        <w:t xml:space="preserve">Chromatography-Photodiode </w:t>
      </w:r>
    </w:p>
    <w:p w:rsidR="00306D58" w:rsidRDefault="00306D58" w:rsidP="00306D58">
      <w:pPr>
        <w:ind w:firstLine="720"/>
        <w:rPr>
          <w:rFonts w:ascii="Times New Roman" w:hAnsi="Times New Roman" w:cs="Times New Roman"/>
          <w:sz w:val="24"/>
          <w:szCs w:val="24"/>
        </w:rPr>
      </w:pPr>
      <w:r w:rsidRPr="00306D58">
        <w:rPr>
          <w:rFonts w:ascii="Times New Roman" w:hAnsi="Times New Roman" w:cs="Times New Roman"/>
          <w:sz w:val="24"/>
          <w:szCs w:val="24"/>
        </w:rPr>
        <w:t>Array-Electrospray Ionization-Mass</w:t>
      </w:r>
      <w:r>
        <w:rPr>
          <w:rFonts w:ascii="Times New Roman" w:hAnsi="Times New Roman" w:cs="Times New Roman"/>
          <w:sz w:val="24"/>
          <w:szCs w:val="24"/>
        </w:rPr>
        <w:t xml:space="preserve"> </w:t>
      </w:r>
      <w:r w:rsidRPr="00306D58">
        <w:rPr>
          <w:rFonts w:ascii="Times New Roman" w:hAnsi="Times New Roman" w:cs="Times New Roman"/>
          <w:sz w:val="24"/>
          <w:szCs w:val="24"/>
        </w:rPr>
        <w:t xml:space="preserve">Spectrometry: Application to a Parasitic Plant−Plant </w:t>
      </w:r>
    </w:p>
    <w:p w:rsidR="00306D58" w:rsidRPr="00210F18" w:rsidRDefault="00306D58" w:rsidP="00306D58">
      <w:pPr>
        <w:ind w:firstLine="720"/>
        <w:rPr>
          <w:rFonts w:ascii="Times New Roman" w:hAnsi="Times New Roman" w:cs="Times New Roman"/>
          <w:sz w:val="24"/>
          <w:szCs w:val="24"/>
        </w:rPr>
      </w:pPr>
      <w:r w:rsidRPr="00306D58">
        <w:rPr>
          <w:rFonts w:ascii="Times New Roman" w:hAnsi="Times New Roman" w:cs="Times New Roman"/>
          <w:sz w:val="24"/>
          <w:szCs w:val="24"/>
        </w:rPr>
        <w:t>Interaction</w:t>
      </w:r>
      <w:r>
        <w:rPr>
          <w:rFonts w:ascii="Times New Roman" w:hAnsi="Times New Roman" w:cs="Times New Roman"/>
          <w:sz w:val="24"/>
          <w:szCs w:val="24"/>
        </w:rPr>
        <w:t>. American Chemical Society, 86, 1138 – 1145.</w:t>
      </w:r>
    </w:p>
    <w:p w:rsidR="00210F18" w:rsidRDefault="002158C6" w:rsidP="00210F18">
      <w:pPr>
        <w:rPr>
          <w:rFonts w:ascii="Times New Roman" w:hAnsi="Times New Roman" w:cs="Times New Roman"/>
          <w:sz w:val="24"/>
          <w:szCs w:val="24"/>
        </w:rPr>
      </w:pPr>
      <w:r w:rsidRPr="00210F18">
        <w:rPr>
          <w:rFonts w:ascii="Times New Roman" w:hAnsi="Times New Roman" w:cs="Times New Roman"/>
          <w:sz w:val="24"/>
          <w:szCs w:val="24"/>
        </w:rPr>
        <w:t xml:space="preserve">Hay, P., (2010) Bacterial Vaginosis. Medicine, 38:6, 281-285. He, X., et al, (2015) Cultivation of </w:t>
      </w:r>
    </w:p>
    <w:p w:rsidR="00210F18" w:rsidRDefault="002158C6" w:rsidP="00210F18">
      <w:pPr>
        <w:ind w:firstLine="720"/>
        <w:rPr>
          <w:rFonts w:ascii="Times New Roman" w:hAnsi="Times New Roman" w:cs="Times New Roman"/>
          <w:sz w:val="24"/>
          <w:szCs w:val="24"/>
        </w:rPr>
      </w:pPr>
      <w:proofErr w:type="gramStart"/>
      <w:r w:rsidRPr="00210F18">
        <w:rPr>
          <w:rFonts w:ascii="Times New Roman" w:hAnsi="Times New Roman" w:cs="Times New Roman"/>
          <w:sz w:val="24"/>
          <w:szCs w:val="24"/>
        </w:rPr>
        <w:t>a</w:t>
      </w:r>
      <w:proofErr w:type="gramEnd"/>
      <w:r w:rsidRPr="00210F18">
        <w:rPr>
          <w:rFonts w:ascii="Times New Roman" w:hAnsi="Times New Roman" w:cs="Times New Roman"/>
          <w:sz w:val="24"/>
          <w:szCs w:val="24"/>
        </w:rPr>
        <w:t xml:space="preserve"> human-associated TM7 </w:t>
      </w:r>
      <w:proofErr w:type="spellStart"/>
      <w:r w:rsidRPr="00210F18">
        <w:rPr>
          <w:rFonts w:ascii="Times New Roman" w:hAnsi="Times New Roman" w:cs="Times New Roman"/>
          <w:sz w:val="24"/>
          <w:szCs w:val="24"/>
        </w:rPr>
        <w:t>phylotype</w:t>
      </w:r>
      <w:proofErr w:type="spellEnd"/>
      <w:r w:rsidRPr="00210F18">
        <w:rPr>
          <w:rFonts w:ascii="Times New Roman" w:hAnsi="Times New Roman" w:cs="Times New Roman"/>
          <w:sz w:val="24"/>
          <w:szCs w:val="24"/>
        </w:rPr>
        <w:t xml:space="preserve"> reveals a reduced genome and </w:t>
      </w:r>
      <w:proofErr w:type="spellStart"/>
      <w:r w:rsidRPr="00210F18">
        <w:rPr>
          <w:rFonts w:ascii="Times New Roman" w:hAnsi="Times New Roman" w:cs="Times New Roman"/>
          <w:sz w:val="24"/>
          <w:szCs w:val="24"/>
        </w:rPr>
        <w:t>epibiotic</w:t>
      </w:r>
      <w:proofErr w:type="spellEnd"/>
      <w:r w:rsidRPr="00210F18">
        <w:rPr>
          <w:rFonts w:ascii="Times New Roman" w:hAnsi="Times New Roman" w:cs="Times New Roman"/>
          <w:sz w:val="24"/>
          <w:szCs w:val="24"/>
        </w:rPr>
        <w:t xml:space="preserve"> parasitic </w:t>
      </w:r>
    </w:p>
    <w:p w:rsidR="002158C6" w:rsidRPr="005B30B0" w:rsidRDefault="002158C6" w:rsidP="00210F18">
      <w:pPr>
        <w:ind w:firstLine="720"/>
        <w:rPr>
          <w:rFonts w:ascii="Times New Roman" w:hAnsi="Times New Roman" w:cs="Times New Roman"/>
          <w:sz w:val="24"/>
          <w:szCs w:val="24"/>
        </w:rPr>
      </w:pPr>
      <w:proofErr w:type="gramStart"/>
      <w:r w:rsidRPr="00210F18">
        <w:rPr>
          <w:rFonts w:ascii="Times New Roman" w:hAnsi="Times New Roman" w:cs="Times New Roman"/>
          <w:sz w:val="24"/>
          <w:szCs w:val="24"/>
        </w:rPr>
        <w:t>lifestyle</w:t>
      </w:r>
      <w:proofErr w:type="gramEnd"/>
      <w:r w:rsidRPr="00210F18">
        <w:rPr>
          <w:rFonts w:ascii="Times New Roman" w:hAnsi="Times New Roman" w:cs="Times New Roman"/>
          <w:sz w:val="24"/>
          <w:szCs w:val="24"/>
        </w:rPr>
        <w:t xml:space="preserve">. PNAS, 112, 244-249. </w:t>
      </w:r>
    </w:p>
    <w:p w:rsidR="005B30B0" w:rsidRDefault="005B30B0" w:rsidP="005B30B0">
      <w:pPr>
        <w:rPr>
          <w:rFonts w:ascii="Times New Roman" w:hAnsi="Times New Roman" w:cs="Times New Roman"/>
          <w:sz w:val="24"/>
          <w:szCs w:val="24"/>
        </w:rPr>
      </w:pPr>
      <w:r w:rsidRPr="005B30B0">
        <w:rPr>
          <w:rFonts w:ascii="Times New Roman" w:hAnsi="Times New Roman" w:cs="Times New Roman"/>
          <w:sz w:val="24"/>
          <w:szCs w:val="24"/>
        </w:rPr>
        <w:t xml:space="preserve">He, X., et al (2015) Cultivation of a human-associated TM7 </w:t>
      </w:r>
      <w:proofErr w:type="spellStart"/>
      <w:r w:rsidRPr="005B30B0">
        <w:rPr>
          <w:rFonts w:ascii="Times New Roman" w:hAnsi="Times New Roman" w:cs="Times New Roman"/>
          <w:sz w:val="24"/>
          <w:szCs w:val="24"/>
        </w:rPr>
        <w:t>phylotype</w:t>
      </w:r>
      <w:proofErr w:type="spellEnd"/>
      <w:r w:rsidRPr="005B30B0">
        <w:rPr>
          <w:rFonts w:ascii="Times New Roman" w:hAnsi="Times New Roman" w:cs="Times New Roman"/>
          <w:sz w:val="24"/>
          <w:szCs w:val="24"/>
        </w:rPr>
        <w:t xml:space="preserve"> reveals a reduced genome </w:t>
      </w:r>
    </w:p>
    <w:p w:rsidR="005B30B0" w:rsidRPr="005B30B0" w:rsidRDefault="005B30B0" w:rsidP="005B30B0">
      <w:pPr>
        <w:ind w:firstLine="720"/>
        <w:rPr>
          <w:rFonts w:ascii="Times New Roman" w:hAnsi="Times New Roman" w:cs="Times New Roman"/>
          <w:sz w:val="24"/>
          <w:szCs w:val="24"/>
        </w:rPr>
      </w:pPr>
      <w:proofErr w:type="gramStart"/>
      <w:r w:rsidRPr="005B30B0">
        <w:rPr>
          <w:rFonts w:ascii="Times New Roman" w:hAnsi="Times New Roman" w:cs="Times New Roman"/>
          <w:sz w:val="24"/>
          <w:szCs w:val="24"/>
        </w:rPr>
        <w:t>and</w:t>
      </w:r>
      <w:proofErr w:type="gramEnd"/>
      <w:r w:rsidRPr="005B30B0">
        <w:rPr>
          <w:rFonts w:ascii="Times New Roman" w:hAnsi="Times New Roman" w:cs="Times New Roman"/>
          <w:sz w:val="24"/>
          <w:szCs w:val="24"/>
        </w:rPr>
        <w:t xml:space="preserve"> </w:t>
      </w:r>
      <w:proofErr w:type="spellStart"/>
      <w:r w:rsidRPr="005B30B0">
        <w:rPr>
          <w:rFonts w:ascii="Times New Roman" w:hAnsi="Times New Roman" w:cs="Times New Roman"/>
          <w:sz w:val="24"/>
          <w:szCs w:val="24"/>
        </w:rPr>
        <w:t>epibiotic</w:t>
      </w:r>
      <w:proofErr w:type="spellEnd"/>
      <w:r w:rsidRPr="005B30B0">
        <w:rPr>
          <w:rFonts w:ascii="Times New Roman" w:hAnsi="Times New Roman" w:cs="Times New Roman"/>
          <w:sz w:val="24"/>
          <w:szCs w:val="24"/>
        </w:rPr>
        <w:t xml:space="preserve"> parasitic lifestyle. PNAS, 112, 244-249. </w:t>
      </w:r>
    </w:p>
    <w:p w:rsidR="00210F18" w:rsidRDefault="002158C6" w:rsidP="00210F18">
      <w:pPr>
        <w:rPr>
          <w:rFonts w:ascii="Times New Roman" w:hAnsi="Times New Roman" w:cs="Times New Roman"/>
          <w:sz w:val="24"/>
          <w:szCs w:val="24"/>
        </w:rPr>
      </w:pPr>
      <w:proofErr w:type="spellStart"/>
      <w:r w:rsidRPr="00210F18">
        <w:rPr>
          <w:rFonts w:ascii="Times New Roman" w:hAnsi="Times New Roman" w:cs="Times New Roman"/>
          <w:sz w:val="24"/>
          <w:szCs w:val="24"/>
        </w:rPr>
        <w:t>Hugenholtz</w:t>
      </w:r>
      <w:proofErr w:type="spellEnd"/>
      <w:r w:rsidRPr="00210F18">
        <w:rPr>
          <w:rFonts w:ascii="Times New Roman" w:hAnsi="Times New Roman" w:cs="Times New Roman"/>
          <w:sz w:val="24"/>
          <w:szCs w:val="24"/>
        </w:rPr>
        <w:t xml:space="preserve">, P., et al, (2000) Investigation of Candidate Division TM7, a Recently Recognized </w:t>
      </w:r>
    </w:p>
    <w:p w:rsidR="00210F18" w:rsidRDefault="002158C6" w:rsidP="00210F18">
      <w:pPr>
        <w:ind w:firstLine="720"/>
        <w:rPr>
          <w:rFonts w:ascii="Times New Roman" w:hAnsi="Times New Roman" w:cs="Times New Roman"/>
          <w:sz w:val="24"/>
          <w:szCs w:val="24"/>
        </w:rPr>
      </w:pPr>
      <w:r w:rsidRPr="00210F18">
        <w:rPr>
          <w:rFonts w:ascii="Times New Roman" w:hAnsi="Times New Roman" w:cs="Times New Roman"/>
          <w:sz w:val="24"/>
          <w:szCs w:val="24"/>
        </w:rPr>
        <w:t xml:space="preserve">Major Lineage of the Domain Bacteria with No Known Pure-Culture Representatives. </w:t>
      </w:r>
    </w:p>
    <w:p w:rsidR="00EE393E" w:rsidRDefault="002158C6" w:rsidP="004B7D0E">
      <w:pPr>
        <w:ind w:firstLine="720"/>
        <w:rPr>
          <w:rFonts w:ascii="Times New Roman" w:hAnsi="Times New Roman" w:cs="Times New Roman"/>
          <w:sz w:val="24"/>
          <w:szCs w:val="24"/>
        </w:rPr>
      </w:pPr>
      <w:r w:rsidRPr="00210F18">
        <w:rPr>
          <w:rFonts w:ascii="Times New Roman" w:hAnsi="Times New Roman" w:cs="Times New Roman"/>
          <w:sz w:val="24"/>
          <w:szCs w:val="24"/>
        </w:rPr>
        <w:t>Applied and Environmental Microbiology, 67, 411-419.</w:t>
      </w:r>
    </w:p>
    <w:p w:rsidR="005336AC" w:rsidRDefault="005336AC" w:rsidP="005336AC">
      <w:pPr>
        <w:rPr>
          <w:rFonts w:ascii="Times New Roman" w:hAnsi="Times New Roman" w:cs="Times New Roman"/>
          <w:sz w:val="24"/>
          <w:szCs w:val="24"/>
        </w:rPr>
      </w:pPr>
      <w:r w:rsidRPr="005336AC">
        <w:rPr>
          <w:rFonts w:ascii="Times New Roman" w:hAnsi="Times New Roman" w:cs="Times New Roman"/>
          <w:sz w:val="24"/>
          <w:szCs w:val="24"/>
        </w:rPr>
        <w:t xml:space="preserve">Lindau, S., (2008), Vaginal Self-Swab Specimen Collection in a Home-Based Survey of Older </w:t>
      </w:r>
    </w:p>
    <w:p w:rsidR="005336AC" w:rsidRPr="005336AC" w:rsidRDefault="005336AC" w:rsidP="005336AC">
      <w:pPr>
        <w:ind w:firstLine="720"/>
        <w:rPr>
          <w:rFonts w:ascii="Times New Roman" w:hAnsi="Times New Roman" w:cs="Times New Roman"/>
          <w:sz w:val="24"/>
          <w:szCs w:val="24"/>
        </w:rPr>
      </w:pPr>
      <w:r w:rsidRPr="005336AC">
        <w:rPr>
          <w:rFonts w:ascii="Times New Roman" w:hAnsi="Times New Roman" w:cs="Times New Roman"/>
          <w:sz w:val="24"/>
          <w:szCs w:val="24"/>
        </w:rPr>
        <w:t>Women: Methods and Applications. Journal of Gerontology, 106-118.</w:t>
      </w:r>
    </w:p>
    <w:p w:rsidR="002158C6" w:rsidRPr="00210F18" w:rsidRDefault="002158C6">
      <w:pPr>
        <w:rPr>
          <w:rFonts w:ascii="Times New Roman" w:hAnsi="Times New Roman" w:cs="Times New Roman"/>
          <w:sz w:val="24"/>
          <w:szCs w:val="24"/>
        </w:rPr>
      </w:pPr>
      <w:r w:rsidRPr="00210F18">
        <w:rPr>
          <w:rFonts w:ascii="Times New Roman" w:hAnsi="Times New Roman" w:cs="Times New Roman"/>
          <w:sz w:val="24"/>
          <w:szCs w:val="24"/>
        </w:rPr>
        <w:t>Ravel, J., et al, (201</w:t>
      </w:r>
      <w:r w:rsidR="00EE393E" w:rsidRPr="00210F18">
        <w:rPr>
          <w:rFonts w:ascii="Times New Roman" w:hAnsi="Times New Roman" w:cs="Times New Roman"/>
          <w:sz w:val="24"/>
          <w:szCs w:val="24"/>
        </w:rPr>
        <w:t>6</w:t>
      </w:r>
      <w:r w:rsidRPr="00210F18">
        <w:rPr>
          <w:rFonts w:ascii="Times New Roman" w:hAnsi="Times New Roman" w:cs="Times New Roman"/>
          <w:sz w:val="24"/>
          <w:szCs w:val="24"/>
        </w:rPr>
        <w:t xml:space="preserve">) </w:t>
      </w:r>
      <w:proofErr w:type="gramStart"/>
      <w:r w:rsidRPr="00210F18">
        <w:rPr>
          <w:rFonts w:ascii="Times New Roman" w:hAnsi="Times New Roman" w:cs="Times New Roman"/>
          <w:sz w:val="24"/>
          <w:szCs w:val="24"/>
        </w:rPr>
        <w:t>Vaginal</w:t>
      </w:r>
      <w:proofErr w:type="gramEnd"/>
      <w:r w:rsidRPr="00210F18">
        <w:rPr>
          <w:rFonts w:ascii="Times New Roman" w:hAnsi="Times New Roman" w:cs="Times New Roman"/>
          <w:sz w:val="24"/>
          <w:szCs w:val="24"/>
        </w:rPr>
        <w:t xml:space="preserve"> microbiome of reproductive-age women. PNAS, 108, 4680-4687</w:t>
      </w:r>
      <w:r w:rsidR="00EE393E" w:rsidRPr="00210F18">
        <w:rPr>
          <w:rFonts w:ascii="Times New Roman" w:hAnsi="Times New Roman" w:cs="Times New Roman"/>
          <w:sz w:val="24"/>
          <w:szCs w:val="24"/>
        </w:rPr>
        <w:t>.</w:t>
      </w:r>
    </w:p>
    <w:sectPr w:rsidR="002158C6" w:rsidRPr="0021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1756"/>
    <w:multiLevelType w:val="hybridMultilevel"/>
    <w:tmpl w:val="C90C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A3CE2"/>
    <w:multiLevelType w:val="hybridMultilevel"/>
    <w:tmpl w:val="C802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F5514"/>
    <w:multiLevelType w:val="hybridMultilevel"/>
    <w:tmpl w:val="6BC02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601BB"/>
    <w:multiLevelType w:val="hybridMultilevel"/>
    <w:tmpl w:val="34BC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D7"/>
    <w:rsid w:val="00062AA0"/>
    <w:rsid w:val="000746B4"/>
    <w:rsid w:val="000F18A5"/>
    <w:rsid w:val="00104C2D"/>
    <w:rsid w:val="00104ED0"/>
    <w:rsid w:val="001313E1"/>
    <w:rsid w:val="00167022"/>
    <w:rsid w:val="00167B0F"/>
    <w:rsid w:val="00210F18"/>
    <w:rsid w:val="002158C6"/>
    <w:rsid w:val="0023623E"/>
    <w:rsid w:val="00275832"/>
    <w:rsid w:val="002B4204"/>
    <w:rsid w:val="00306D58"/>
    <w:rsid w:val="00350160"/>
    <w:rsid w:val="00352457"/>
    <w:rsid w:val="003603EA"/>
    <w:rsid w:val="00396491"/>
    <w:rsid w:val="003A13D0"/>
    <w:rsid w:val="003B6FE4"/>
    <w:rsid w:val="003D63F2"/>
    <w:rsid w:val="003F0122"/>
    <w:rsid w:val="004103F9"/>
    <w:rsid w:val="004318B0"/>
    <w:rsid w:val="004475A1"/>
    <w:rsid w:val="00471397"/>
    <w:rsid w:val="00472580"/>
    <w:rsid w:val="004A6B2F"/>
    <w:rsid w:val="004B7D0E"/>
    <w:rsid w:val="004D1226"/>
    <w:rsid w:val="004F7A62"/>
    <w:rsid w:val="00520719"/>
    <w:rsid w:val="005336AC"/>
    <w:rsid w:val="00574446"/>
    <w:rsid w:val="005B30B0"/>
    <w:rsid w:val="005B772B"/>
    <w:rsid w:val="00654147"/>
    <w:rsid w:val="006C2182"/>
    <w:rsid w:val="007070F3"/>
    <w:rsid w:val="00744A70"/>
    <w:rsid w:val="00744B2C"/>
    <w:rsid w:val="007910D7"/>
    <w:rsid w:val="007A5039"/>
    <w:rsid w:val="007A58BF"/>
    <w:rsid w:val="007A6931"/>
    <w:rsid w:val="007C3F8B"/>
    <w:rsid w:val="007C7EB0"/>
    <w:rsid w:val="0083591E"/>
    <w:rsid w:val="008512B8"/>
    <w:rsid w:val="00880D47"/>
    <w:rsid w:val="008C2500"/>
    <w:rsid w:val="008F0190"/>
    <w:rsid w:val="008F354A"/>
    <w:rsid w:val="00913579"/>
    <w:rsid w:val="00920949"/>
    <w:rsid w:val="009236D1"/>
    <w:rsid w:val="0095334C"/>
    <w:rsid w:val="009D587E"/>
    <w:rsid w:val="009D5AAB"/>
    <w:rsid w:val="00A2607C"/>
    <w:rsid w:val="00A26742"/>
    <w:rsid w:val="00A61D1D"/>
    <w:rsid w:val="00A842EF"/>
    <w:rsid w:val="00A857EA"/>
    <w:rsid w:val="00AE084A"/>
    <w:rsid w:val="00B94560"/>
    <w:rsid w:val="00B96294"/>
    <w:rsid w:val="00BB0202"/>
    <w:rsid w:val="00BE0933"/>
    <w:rsid w:val="00C62DDF"/>
    <w:rsid w:val="00C64083"/>
    <w:rsid w:val="00C66641"/>
    <w:rsid w:val="00C67996"/>
    <w:rsid w:val="00C8194B"/>
    <w:rsid w:val="00DD12D0"/>
    <w:rsid w:val="00DD4313"/>
    <w:rsid w:val="00DF0CDE"/>
    <w:rsid w:val="00DF734C"/>
    <w:rsid w:val="00E50B94"/>
    <w:rsid w:val="00EE393E"/>
    <w:rsid w:val="00F6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55D9D8-F0A8-4C35-A643-05F1ADEE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D7"/>
    <w:pPr>
      <w:ind w:left="720"/>
      <w:contextualSpacing/>
    </w:pPr>
  </w:style>
  <w:style w:type="character" w:customStyle="1" w:styleId="apple-converted-space">
    <w:name w:val="apple-converted-space"/>
    <w:basedOn w:val="DefaultParagraphFont"/>
    <w:rsid w:val="00C64083"/>
  </w:style>
  <w:style w:type="character" w:styleId="Emphasis">
    <w:name w:val="Emphasis"/>
    <w:basedOn w:val="DefaultParagraphFont"/>
    <w:uiPriority w:val="20"/>
    <w:qFormat/>
    <w:rsid w:val="00C64083"/>
    <w:rPr>
      <w:i/>
      <w:iCs/>
    </w:rPr>
  </w:style>
  <w:style w:type="paragraph" w:styleId="Caption">
    <w:name w:val="caption"/>
    <w:basedOn w:val="Normal"/>
    <w:next w:val="Normal"/>
    <w:uiPriority w:val="35"/>
    <w:unhideWhenUsed/>
    <w:qFormat/>
    <w:rsid w:val="008512B8"/>
    <w:pPr>
      <w:spacing w:after="200" w:line="240" w:lineRule="auto"/>
    </w:pPr>
    <w:rPr>
      <w:i/>
      <w:iCs/>
      <w:color w:val="44546A" w:themeColor="text2"/>
      <w:sz w:val="18"/>
      <w:szCs w:val="18"/>
    </w:rPr>
  </w:style>
  <w:style w:type="character" w:customStyle="1" w:styleId="bkciteavail">
    <w:name w:val="bk_cite_avail"/>
    <w:basedOn w:val="DefaultParagraphFont"/>
    <w:rsid w:val="008F354A"/>
  </w:style>
  <w:style w:type="character" w:styleId="CommentReference">
    <w:name w:val="annotation reference"/>
    <w:basedOn w:val="DefaultParagraphFont"/>
    <w:uiPriority w:val="99"/>
    <w:semiHidden/>
    <w:unhideWhenUsed/>
    <w:rsid w:val="003D63F2"/>
    <w:rPr>
      <w:sz w:val="16"/>
      <w:szCs w:val="16"/>
    </w:rPr>
  </w:style>
  <w:style w:type="paragraph" w:styleId="CommentText">
    <w:name w:val="annotation text"/>
    <w:basedOn w:val="Normal"/>
    <w:link w:val="CommentTextChar"/>
    <w:uiPriority w:val="99"/>
    <w:semiHidden/>
    <w:unhideWhenUsed/>
    <w:rsid w:val="003D63F2"/>
    <w:pPr>
      <w:spacing w:line="240" w:lineRule="auto"/>
    </w:pPr>
    <w:rPr>
      <w:sz w:val="20"/>
      <w:szCs w:val="20"/>
    </w:rPr>
  </w:style>
  <w:style w:type="character" w:customStyle="1" w:styleId="CommentTextChar">
    <w:name w:val="Comment Text Char"/>
    <w:basedOn w:val="DefaultParagraphFont"/>
    <w:link w:val="CommentText"/>
    <w:uiPriority w:val="99"/>
    <w:semiHidden/>
    <w:rsid w:val="003D63F2"/>
    <w:rPr>
      <w:sz w:val="20"/>
      <w:szCs w:val="20"/>
    </w:rPr>
  </w:style>
  <w:style w:type="paragraph" w:styleId="CommentSubject">
    <w:name w:val="annotation subject"/>
    <w:basedOn w:val="CommentText"/>
    <w:next w:val="CommentText"/>
    <w:link w:val="CommentSubjectChar"/>
    <w:uiPriority w:val="99"/>
    <w:semiHidden/>
    <w:unhideWhenUsed/>
    <w:rsid w:val="003D63F2"/>
    <w:rPr>
      <w:b/>
      <w:bCs/>
    </w:rPr>
  </w:style>
  <w:style w:type="character" w:customStyle="1" w:styleId="CommentSubjectChar">
    <w:name w:val="Comment Subject Char"/>
    <w:basedOn w:val="CommentTextChar"/>
    <w:link w:val="CommentSubject"/>
    <w:uiPriority w:val="99"/>
    <w:semiHidden/>
    <w:rsid w:val="003D63F2"/>
    <w:rPr>
      <w:b/>
      <w:bCs/>
      <w:sz w:val="20"/>
      <w:szCs w:val="20"/>
    </w:rPr>
  </w:style>
  <w:style w:type="paragraph" w:styleId="BalloonText">
    <w:name w:val="Balloon Text"/>
    <w:basedOn w:val="Normal"/>
    <w:link w:val="BalloonTextChar"/>
    <w:uiPriority w:val="99"/>
    <w:semiHidden/>
    <w:unhideWhenUsed/>
    <w:rsid w:val="003D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2697">
      <w:bodyDiv w:val="1"/>
      <w:marLeft w:val="0"/>
      <w:marRight w:val="0"/>
      <w:marTop w:val="0"/>
      <w:marBottom w:val="0"/>
      <w:divBdr>
        <w:top w:val="none" w:sz="0" w:space="0" w:color="auto"/>
        <w:left w:val="none" w:sz="0" w:space="0" w:color="auto"/>
        <w:bottom w:val="none" w:sz="0" w:space="0" w:color="auto"/>
        <w:right w:val="none" w:sz="0" w:space="0" w:color="auto"/>
      </w:divBdr>
    </w:div>
    <w:div w:id="165013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Turpin</dc:creator>
  <cp:keywords/>
  <dc:description/>
  <cp:lastModifiedBy>Trish Turpin</cp:lastModifiedBy>
  <cp:revision>17</cp:revision>
  <dcterms:created xsi:type="dcterms:W3CDTF">2016-05-05T19:45:00Z</dcterms:created>
  <dcterms:modified xsi:type="dcterms:W3CDTF">2016-05-08T09:19:00Z</dcterms:modified>
</cp:coreProperties>
</file>