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DF" w:rsidRPr="00D97EC8" w:rsidRDefault="00090B4A" w:rsidP="000640CA">
      <w:pPr>
        <w:rPr>
          <w:rFonts w:ascii="Times New Roman" w:hAnsi="Times New Roman" w:cs="Times New Roman"/>
          <w:sz w:val="24"/>
          <w:szCs w:val="24"/>
        </w:rPr>
      </w:pPr>
      <w:r>
        <w:rPr>
          <w:rFonts w:ascii="Times New Roman" w:hAnsi="Times New Roman" w:cs="Times New Roman"/>
          <w:sz w:val="24"/>
          <w:szCs w:val="24"/>
        </w:rPr>
        <w:t>How do Acetamiprid and Imidacloprid bind to the alpha subunit of</w:t>
      </w:r>
      <w:r w:rsidR="000640CA" w:rsidRPr="00D97EC8">
        <w:rPr>
          <w:rFonts w:ascii="Times New Roman" w:hAnsi="Times New Roman" w:cs="Times New Roman"/>
          <w:sz w:val="24"/>
          <w:szCs w:val="24"/>
        </w:rPr>
        <w:t xml:space="preserve"> </w:t>
      </w:r>
      <w:r w:rsidR="00C23336">
        <w:rPr>
          <w:rFonts w:ascii="Times New Roman" w:hAnsi="Times New Roman" w:cs="Times New Roman"/>
          <w:i/>
          <w:sz w:val="24"/>
          <w:szCs w:val="24"/>
        </w:rPr>
        <w:t>Apis m</w:t>
      </w:r>
      <w:r w:rsidR="000640CA" w:rsidRPr="00C23336">
        <w:rPr>
          <w:rFonts w:ascii="Times New Roman" w:hAnsi="Times New Roman" w:cs="Times New Roman"/>
          <w:i/>
          <w:sz w:val="24"/>
          <w:szCs w:val="24"/>
        </w:rPr>
        <w:t>ellifera</w:t>
      </w:r>
      <w:r w:rsidR="00D25FDF" w:rsidRPr="00D97EC8">
        <w:rPr>
          <w:rFonts w:ascii="Times New Roman" w:hAnsi="Times New Roman" w:cs="Times New Roman"/>
          <w:sz w:val="24"/>
          <w:szCs w:val="24"/>
        </w:rPr>
        <w:t>?</w:t>
      </w:r>
    </w:p>
    <w:p w:rsidR="000640CA" w:rsidRPr="00D97EC8" w:rsidRDefault="00090B4A" w:rsidP="000640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Neonicotinoid’s and Their R</w:t>
      </w:r>
      <w:r w:rsidR="000640CA" w:rsidRPr="00D97EC8">
        <w:rPr>
          <w:rFonts w:ascii="Times New Roman" w:hAnsi="Times New Roman" w:cs="Times New Roman"/>
          <w:sz w:val="24"/>
          <w:szCs w:val="24"/>
        </w:rPr>
        <w:t>ole in Colony Collapse Disorder</w:t>
      </w:r>
    </w:p>
    <w:p w:rsidR="00744F8D" w:rsidRPr="00D97EC8" w:rsidRDefault="00D25FDF" w:rsidP="000640CA">
      <w:pPr>
        <w:rPr>
          <w:rFonts w:ascii="Times New Roman" w:hAnsi="Times New Roman" w:cs="Times New Roman"/>
          <w:sz w:val="24"/>
          <w:szCs w:val="24"/>
        </w:rPr>
      </w:pPr>
      <w:r w:rsidRPr="00D97EC8">
        <w:rPr>
          <w:rFonts w:ascii="Times New Roman" w:hAnsi="Times New Roman" w:cs="Times New Roman"/>
          <w:sz w:val="24"/>
          <w:szCs w:val="24"/>
        </w:rPr>
        <w:tab/>
        <w:t>Neonicotinoid pesticides are an agonist for the Nicotinic Acetylcholine re</w:t>
      </w:r>
      <w:r w:rsidR="003358EB" w:rsidRPr="00D97EC8">
        <w:rPr>
          <w:rFonts w:ascii="Times New Roman" w:hAnsi="Times New Roman" w:cs="Times New Roman"/>
          <w:sz w:val="24"/>
          <w:szCs w:val="24"/>
        </w:rPr>
        <w:t>ceptors (nAChRs) in insects.  T</w:t>
      </w:r>
      <w:r w:rsidRPr="00D97EC8">
        <w:rPr>
          <w:rFonts w:ascii="Times New Roman" w:hAnsi="Times New Roman" w:cs="Times New Roman"/>
          <w:sz w:val="24"/>
          <w:szCs w:val="24"/>
        </w:rPr>
        <w:t>heir use has been very effec</w:t>
      </w:r>
      <w:r w:rsidR="00D532E3" w:rsidRPr="00D97EC8">
        <w:rPr>
          <w:rFonts w:ascii="Times New Roman" w:hAnsi="Times New Roman" w:cs="Times New Roman"/>
          <w:sz w:val="24"/>
          <w:szCs w:val="24"/>
        </w:rPr>
        <w:t>tive at combatting common agricultural pests</w:t>
      </w:r>
      <w:r w:rsidRPr="00D97EC8">
        <w:rPr>
          <w:rFonts w:ascii="Times New Roman" w:hAnsi="Times New Roman" w:cs="Times New Roman"/>
          <w:sz w:val="24"/>
          <w:szCs w:val="24"/>
        </w:rPr>
        <w:t xml:space="preserve">, </w:t>
      </w:r>
      <w:r w:rsidR="003358EB" w:rsidRPr="00D97EC8">
        <w:rPr>
          <w:rFonts w:ascii="Times New Roman" w:hAnsi="Times New Roman" w:cs="Times New Roman"/>
          <w:sz w:val="24"/>
          <w:szCs w:val="24"/>
        </w:rPr>
        <w:t xml:space="preserve">however </w:t>
      </w:r>
      <w:r w:rsidRPr="00D97EC8">
        <w:rPr>
          <w:rFonts w:ascii="Times New Roman" w:hAnsi="Times New Roman" w:cs="Times New Roman"/>
          <w:sz w:val="24"/>
          <w:szCs w:val="24"/>
        </w:rPr>
        <w:t xml:space="preserve">they have had the </w:t>
      </w:r>
      <w:r w:rsidR="00D532E3" w:rsidRPr="00D97EC8">
        <w:rPr>
          <w:rFonts w:ascii="Times New Roman" w:hAnsi="Times New Roman" w:cs="Times New Roman"/>
          <w:sz w:val="24"/>
          <w:szCs w:val="24"/>
        </w:rPr>
        <w:t>unintended effect of harming</w:t>
      </w:r>
      <w:r w:rsidRPr="00D97EC8">
        <w:rPr>
          <w:rFonts w:ascii="Times New Roman" w:hAnsi="Times New Roman" w:cs="Times New Roman"/>
          <w:sz w:val="24"/>
          <w:szCs w:val="24"/>
        </w:rPr>
        <w:t xml:space="preserve"> populations </w:t>
      </w:r>
      <w:r w:rsidR="00D532E3" w:rsidRPr="00D97EC8">
        <w:rPr>
          <w:rFonts w:ascii="Times New Roman" w:hAnsi="Times New Roman" w:cs="Times New Roman"/>
          <w:sz w:val="24"/>
          <w:szCs w:val="24"/>
        </w:rPr>
        <w:t xml:space="preserve">of </w:t>
      </w:r>
      <w:r w:rsidR="00C23336">
        <w:rPr>
          <w:rFonts w:ascii="Times New Roman" w:hAnsi="Times New Roman" w:cs="Times New Roman"/>
          <w:i/>
          <w:sz w:val="24"/>
          <w:szCs w:val="24"/>
        </w:rPr>
        <w:t>Apis m</w:t>
      </w:r>
      <w:r w:rsidR="00D532E3" w:rsidRPr="00C23336">
        <w:rPr>
          <w:rFonts w:ascii="Times New Roman" w:hAnsi="Times New Roman" w:cs="Times New Roman"/>
          <w:i/>
          <w:sz w:val="24"/>
          <w:szCs w:val="24"/>
        </w:rPr>
        <w:t>ellifera</w:t>
      </w:r>
      <w:r w:rsidR="00D532E3" w:rsidRPr="00D97EC8">
        <w:rPr>
          <w:rFonts w:ascii="Times New Roman" w:hAnsi="Times New Roman" w:cs="Times New Roman"/>
          <w:sz w:val="24"/>
          <w:szCs w:val="24"/>
        </w:rPr>
        <w:t xml:space="preserve"> (honey bee) </w:t>
      </w:r>
      <w:r w:rsidRPr="00D97EC8">
        <w:rPr>
          <w:rFonts w:ascii="Times New Roman" w:hAnsi="Times New Roman" w:cs="Times New Roman"/>
          <w:sz w:val="24"/>
          <w:szCs w:val="24"/>
        </w:rPr>
        <w:t>through mortality in large doses</w:t>
      </w:r>
      <w:r w:rsidR="00EC3475" w:rsidRPr="00D97EC8">
        <w:rPr>
          <w:rFonts w:ascii="Times New Roman" w:hAnsi="Times New Roman" w:cs="Times New Roman"/>
          <w:sz w:val="24"/>
          <w:szCs w:val="24"/>
        </w:rPr>
        <w:t>,</w:t>
      </w:r>
      <w:r w:rsidRPr="00D97EC8">
        <w:rPr>
          <w:rFonts w:ascii="Times New Roman" w:hAnsi="Times New Roman" w:cs="Times New Roman"/>
          <w:sz w:val="24"/>
          <w:szCs w:val="24"/>
        </w:rPr>
        <w:t xml:space="preserve"> and impaired motor function and memory in smaller doses</w:t>
      </w:r>
      <w:r w:rsidR="00D532E3" w:rsidRPr="00D97EC8">
        <w:rPr>
          <w:rFonts w:ascii="Times New Roman" w:hAnsi="Times New Roman" w:cs="Times New Roman"/>
          <w:sz w:val="24"/>
          <w:szCs w:val="24"/>
        </w:rPr>
        <w:t xml:space="preserve"> (Gauthier, 2010)</w:t>
      </w:r>
      <w:r w:rsidRPr="00D97EC8">
        <w:rPr>
          <w:rFonts w:ascii="Times New Roman" w:hAnsi="Times New Roman" w:cs="Times New Roman"/>
          <w:sz w:val="24"/>
          <w:szCs w:val="24"/>
        </w:rPr>
        <w:t xml:space="preserve">.  </w:t>
      </w:r>
      <w:r w:rsidR="00744F8D" w:rsidRPr="00D97EC8">
        <w:rPr>
          <w:rFonts w:ascii="Times New Roman" w:hAnsi="Times New Roman" w:cs="Times New Roman"/>
          <w:sz w:val="24"/>
          <w:szCs w:val="24"/>
        </w:rPr>
        <w:t xml:space="preserve"> This is because nAChR’s are receptors involved in the chemical juncture between nerve cells.  They are a form of ion channel that facilitates movement of Ca2+, K+, and Na+ across the cellular membrane</w:t>
      </w:r>
      <w:r w:rsidR="003358EB" w:rsidRPr="00D97EC8">
        <w:rPr>
          <w:rFonts w:ascii="Times New Roman" w:hAnsi="Times New Roman" w:cs="Times New Roman"/>
          <w:sz w:val="24"/>
          <w:szCs w:val="24"/>
        </w:rPr>
        <w:t>,</w:t>
      </w:r>
      <w:r w:rsidR="00744F8D" w:rsidRPr="00D97EC8">
        <w:rPr>
          <w:rFonts w:ascii="Times New Roman" w:hAnsi="Times New Roman" w:cs="Times New Roman"/>
          <w:sz w:val="24"/>
          <w:szCs w:val="24"/>
        </w:rPr>
        <w:t xml:space="preserve"> and</w:t>
      </w:r>
      <w:r w:rsidR="003358EB" w:rsidRPr="00D97EC8">
        <w:rPr>
          <w:rFonts w:ascii="Times New Roman" w:hAnsi="Times New Roman" w:cs="Times New Roman"/>
          <w:sz w:val="24"/>
          <w:szCs w:val="24"/>
        </w:rPr>
        <w:t xml:space="preserve"> then</w:t>
      </w:r>
      <w:r w:rsidR="00744F8D" w:rsidRPr="00D97EC8">
        <w:rPr>
          <w:rFonts w:ascii="Times New Roman" w:hAnsi="Times New Roman" w:cs="Times New Roman"/>
          <w:sz w:val="24"/>
          <w:szCs w:val="24"/>
        </w:rPr>
        <w:t xml:space="preserve"> through the synaptic cleft to continue transmission of the action potential (Thany et al, 2007).  </w:t>
      </w:r>
      <w:r w:rsidR="00D532E3" w:rsidRPr="00D97EC8">
        <w:rPr>
          <w:rFonts w:ascii="Times New Roman" w:hAnsi="Times New Roman" w:cs="Times New Roman"/>
          <w:sz w:val="24"/>
          <w:szCs w:val="24"/>
        </w:rPr>
        <w:t>Currently</w:t>
      </w:r>
      <w:r w:rsidR="00AA12E1" w:rsidRPr="00D97EC8">
        <w:rPr>
          <w:rFonts w:ascii="Times New Roman" w:hAnsi="Times New Roman" w:cs="Times New Roman"/>
          <w:sz w:val="24"/>
          <w:szCs w:val="24"/>
        </w:rPr>
        <w:t>, through industrial</w:t>
      </w:r>
      <w:r w:rsidR="00D532E3" w:rsidRPr="00D97EC8">
        <w:rPr>
          <w:rFonts w:ascii="Times New Roman" w:hAnsi="Times New Roman" w:cs="Times New Roman"/>
          <w:sz w:val="24"/>
          <w:szCs w:val="24"/>
        </w:rPr>
        <w:t xml:space="preserve"> scale agriculture many bees are exposed to su</w:t>
      </w:r>
      <w:r w:rsidR="00AA12E1" w:rsidRPr="00D97EC8">
        <w:rPr>
          <w:rFonts w:ascii="Times New Roman" w:hAnsi="Times New Roman" w:cs="Times New Roman"/>
          <w:sz w:val="24"/>
          <w:szCs w:val="24"/>
        </w:rPr>
        <w:t>b-</w:t>
      </w:r>
      <w:r w:rsidR="00D532E3" w:rsidRPr="00D97EC8">
        <w:rPr>
          <w:rFonts w:ascii="Times New Roman" w:hAnsi="Times New Roman" w:cs="Times New Roman"/>
          <w:sz w:val="24"/>
          <w:szCs w:val="24"/>
        </w:rPr>
        <w:t xml:space="preserve">lethal amounts of these pesticides </w:t>
      </w:r>
      <w:r w:rsidR="00AA12E1" w:rsidRPr="00D97EC8">
        <w:rPr>
          <w:rFonts w:ascii="Times New Roman" w:hAnsi="Times New Roman" w:cs="Times New Roman"/>
          <w:sz w:val="24"/>
          <w:szCs w:val="24"/>
        </w:rPr>
        <w:t>that are inadvertently spread to nearby food sources.  As workers are exposed, they begin to experience impaired motor function and memory.  They bring contaminated food to the hive, and it is spread throughout</w:t>
      </w:r>
      <w:r w:rsidR="00EC3475" w:rsidRPr="00D97EC8">
        <w:rPr>
          <w:rFonts w:ascii="Times New Roman" w:hAnsi="Times New Roman" w:cs="Times New Roman"/>
          <w:sz w:val="24"/>
          <w:szCs w:val="24"/>
        </w:rPr>
        <w:t xml:space="preserve"> (Suchail et al, 2001)</w:t>
      </w:r>
      <w:r w:rsidR="00AA12E1" w:rsidRPr="00D97EC8">
        <w:rPr>
          <w:rFonts w:ascii="Times New Roman" w:hAnsi="Times New Roman" w:cs="Times New Roman"/>
          <w:sz w:val="24"/>
          <w:szCs w:val="24"/>
        </w:rPr>
        <w:t>.  As explained by Dr. Dyer and Dr. Could in their paper, “Honey Bee Navigation”, workers often rely on remembered landmarks when returning to the hive from a food source, especially when the sun is unavailable for geolocation (1983).  When enough workers</w:t>
      </w:r>
      <w:r w:rsidR="00EC7BAF">
        <w:rPr>
          <w:rFonts w:ascii="Times New Roman" w:hAnsi="Times New Roman" w:cs="Times New Roman"/>
          <w:sz w:val="24"/>
          <w:szCs w:val="24"/>
        </w:rPr>
        <w:t>’</w:t>
      </w:r>
      <w:r w:rsidR="00AA12E1" w:rsidRPr="00D97EC8">
        <w:rPr>
          <w:rFonts w:ascii="Times New Roman" w:hAnsi="Times New Roman" w:cs="Times New Roman"/>
          <w:sz w:val="24"/>
          <w:szCs w:val="24"/>
        </w:rPr>
        <w:t xml:space="preserve"> </w:t>
      </w:r>
      <w:r w:rsidR="00EC7BAF">
        <w:rPr>
          <w:rFonts w:ascii="Times New Roman" w:hAnsi="Times New Roman" w:cs="Times New Roman"/>
          <w:sz w:val="24"/>
          <w:szCs w:val="24"/>
        </w:rPr>
        <w:t>memory is too</w:t>
      </w:r>
      <w:r w:rsidR="00AA12E1" w:rsidRPr="00D97EC8">
        <w:rPr>
          <w:rFonts w:ascii="Times New Roman" w:hAnsi="Times New Roman" w:cs="Times New Roman"/>
          <w:sz w:val="24"/>
          <w:szCs w:val="24"/>
        </w:rPr>
        <w:t xml:space="preserve"> impaired </w:t>
      </w:r>
      <w:r w:rsidR="00EC7BAF">
        <w:rPr>
          <w:rFonts w:ascii="Times New Roman" w:hAnsi="Times New Roman" w:cs="Times New Roman"/>
          <w:sz w:val="24"/>
          <w:szCs w:val="24"/>
        </w:rPr>
        <w:t xml:space="preserve">for them </w:t>
      </w:r>
      <w:r w:rsidR="00AA12E1" w:rsidRPr="00D97EC8">
        <w:rPr>
          <w:rFonts w:ascii="Times New Roman" w:hAnsi="Times New Roman" w:cs="Times New Roman"/>
          <w:sz w:val="24"/>
          <w:szCs w:val="24"/>
        </w:rPr>
        <w:t>to return, the colony collapses; neonicotinoid pesticides are one of the leading causes of colony collapse disorder (CCD).  Although these</w:t>
      </w:r>
      <w:r w:rsidRPr="00D97EC8">
        <w:rPr>
          <w:rFonts w:ascii="Times New Roman" w:hAnsi="Times New Roman" w:cs="Times New Roman"/>
          <w:sz w:val="24"/>
          <w:szCs w:val="24"/>
        </w:rPr>
        <w:t xml:space="preserve"> chemicals are always going to</w:t>
      </w:r>
      <w:r w:rsidR="00C23336">
        <w:rPr>
          <w:rFonts w:ascii="Times New Roman" w:hAnsi="Times New Roman" w:cs="Times New Roman"/>
          <w:sz w:val="24"/>
          <w:szCs w:val="24"/>
        </w:rPr>
        <w:t xml:space="preserve"> unintentionally</w:t>
      </w:r>
      <w:r w:rsidRPr="00D97EC8">
        <w:rPr>
          <w:rFonts w:ascii="Times New Roman" w:hAnsi="Times New Roman" w:cs="Times New Roman"/>
          <w:sz w:val="24"/>
          <w:szCs w:val="24"/>
        </w:rPr>
        <w:t xml:space="preserve"> affect insects </w:t>
      </w:r>
      <w:r w:rsidR="00C23336">
        <w:rPr>
          <w:rFonts w:ascii="Times New Roman" w:hAnsi="Times New Roman" w:cs="Times New Roman"/>
          <w:sz w:val="24"/>
          <w:szCs w:val="24"/>
        </w:rPr>
        <w:t xml:space="preserve">that they come in contact with; </w:t>
      </w:r>
      <w:r w:rsidR="00473C9A">
        <w:rPr>
          <w:rFonts w:ascii="Times New Roman" w:hAnsi="Times New Roman" w:cs="Times New Roman"/>
          <w:sz w:val="24"/>
          <w:szCs w:val="24"/>
        </w:rPr>
        <w:t>if the mechanism of toxicity is understood, we can optimize the insecticides to only effect the target species.</w:t>
      </w:r>
    </w:p>
    <w:p w:rsidR="00744F8D" w:rsidRPr="00D97EC8" w:rsidRDefault="000640CA" w:rsidP="00744F8D">
      <w:pPr>
        <w:pStyle w:val="ListParagraph"/>
        <w:numPr>
          <w:ilvl w:val="0"/>
          <w:numId w:val="3"/>
        </w:numPr>
        <w:rPr>
          <w:rFonts w:ascii="Times New Roman" w:hAnsi="Times New Roman" w:cs="Times New Roman"/>
          <w:sz w:val="24"/>
          <w:szCs w:val="24"/>
        </w:rPr>
      </w:pPr>
      <w:r w:rsidRPr="00D97EC8">
        <w:rPr>
          <w:rFonts w:ascii="Times New Roman" w:hAnsi="Times New Roman" w:cs="Times New Roman"/>
          <w:sz w:val="24"/>
          <w:szCs w:val="24"/>
        </w:rPr>
        <w:t>Cyano vs. Nit</w:t>
      </w:r>
      <w:r w:rsidR="00090B4A">
        <w:rPr>
          <w:rFonts w:ascii="Times New Roman" w:hAnsi="Times New Roman" w:cs="Times New Roman"/>
          <w:sz w:val="24"/>
          <w:szCs w:val="24"/>
        </w:rPr>
        <w:t>ro-substituted Neonicotinoid’s E</w:t>
      </w:r>
      <w:r w:rsidRPr="00D97EC8">
        <w:rPr>
          <w:rFonts w:ascii="Times New Roman" w:hAnsi="Times New Roman" w:cs="Times New Roman"/>
          <w:sz w:val="24"/>
          <w:szCs w:val="24"/>
        </w:rPr>
        <w:t xml:space="preserve">ffect on </w:t>
      </w:r>
      <w:r w:rsidR="00C23336">
        <w:rPr>
          <w:rFonts w:ascii="Times New Roman" w:hAnsi="Times New Roman" w:cs="Times New Roman"/>
          <w:i/>
          <w:sz w:val="24"/>
          <w:szCs w:val="24"/>
        </w:rPr>
        <w:t>Apis m</w:t>
      </w:r>
      <w:r w:rsidRPr="00C23336">
        <w:rPr>
          <w:rFonts w:ascii="Times New Roman" w:hAnsi="Times New Roman" w:cs="Times New Roman"/>
          <w:i/>
          <w:sz w:val="24"/>
          <w:szCs w:val="24"/>
        </w:rPr>
        <w:t>ellifera</w:t>
      </w:r>
      <w:r w:rsidR="00AA12E1" w:rsidRPr="00D97EC8">
        <w:rPr>
          <w:rFonts w:ascii="Times New Roman" w:hAnsi="Times New Roman" w:cs="Times New Roman"/>
          <w:sz w:val="24"/>
          <w:szCs w:val="24"/>
        </w:rPr>
        <w:tab/>
      </w:r>
    </w:p>
    <w:p w:rsidR="008908F6" w:rsidRDefault="00A109F3" w:rsidP="00711B1A">
      <w:pPr>
        <w:pStyle w:val="HTMLPreformatted"/>
        <w:shd w:val="clear" w:color="auto" w:fill="FFFFFF"/>
        <w:spacing w:line="254" w:lineRule="atLeast"/>
        <w:rPr>
          <w:rFonts w:ascii="Times New Roman" w:hAnsi="Times New Roman" w:cs="Times New Roman"/>
          <w:sz w:val="24"/>
          <w:szCs w:val="24"/>
        </w:rPr>
      </w:pPr>
      <w:r>
        <w:rPr>
          <w:rFonts w:ascii="Times New Roman" w:hAnsi="Times New Roman" w:cs="Times New Roman"/>
          <w:sz w:val="24"/>
          <w:szCs w:val="24"/>
        </w:rPr>
        <w:tab/>
      </w:r>
      <w:r w:rsidR="004A42C5">
        <w:rPr>
          <w:rFonts w:ascii="Times New Roman" w:hAnsi="Times New Roman" w:cs="Times New Roman"/>
          <w:sz w:val="24"/>
          <w:szCs w:val="24"/>
        </w:rPr>
        <w:t xml:space="preserve">The most common neonicotinoid pesticide used today is Imidacloprid.  </w:t>
      </w:r>
      <w:r w:rsidR="002D1F1C">
        <w:rPr>
          <w:rFonts w:ascii="Times New Roman" w:hAnsi="Times New Roman" w:cs="Times New Roman"/>
          <w:sz w:val="24"/>
          <w:szCs w:val="24"/>
        </w:rPr>
        <w:t>In their experiment “</w:t>
      </w:r>
      <w:r w:rsidR="002D1F1C" w:rsidRPr="00D97EC8">
        <w:rPr>
          <w:rFonts w:ascii="Times New Roman" w:hAnsi="Times New Roman" w:cs="Times New Roman"/>
          <w:color w:val="000000"/>
          <w:sz w:val="24"/>
          <w:szCs w:val="24"/>
          <w:shd w:val="clear" w:color="auto" w:fill="F1F4F5"/>
        </w:rPr>
        <w:t xml:space="preserve">Mechanism for the Differential Toxicity of Neonicotinoid Insecticides in the Honey Bee, </w:t>
      </w:r>
      <w:r w:rsidR="00C23336">
        <w:rPr>
          <w:rFonts w:ascii="Times New Roman" w:hAnsi="Times New Roman" w:cs="Times New Roman"/>
          <w:i/>
          <w:color w:val="000000"/>
          <w:sz w:val="24"/>
          <w:szCs w:val="24"/>
          <w:shd w:val="clear" w:color="auto" w:fill="F1F4F5"/>
        </w:rPr>
        <w:t>Apis m</w:t>
      </w:r>
      <w:r w:rsidR="002D1F1C" w:rsidRPr="00C23336">
        <w:rPr>
          <w:rFonts w:ascii="Times New Roman" w:hAnsi="Times New Roman" w:cs="Times New Roman"/>
          <w:i/>
          <w:color w:val="000000"/>
          <w:sz w:val="24"/>
          <w:szCs w:val="24"/>
          <w:shd w:val="clear" w:color="auto" w:fill="F1F4F5"/>
        </w:rPr>
        <w:t>ellifera</w:t>
      </w:r>
      <w:r w:rsidR="002D1F1C">
        <w:rPr>
          <w:rFonts w:ascii="Times New Roman" w:hAnsi="Times New Roman" w:cs="Times New Roman"/>
          <w:color w:val="000000"/>
          <w:sz w:val="24"/>
          <w:szCs w:val="24"/>
          <w:shd w:val="clear" w:color="auto" w:fill="F1F4F5"/>
        </w:rPr>
        <w:t>”, Iwasa et al found that</w:t>
      </w:r>
      <w:r w:rsidR="002D1F1C">
        <w:rPr>
          <w:rFonts w:ascii="Times New Roman" w:hAnsi="Times New Roman" w:cs="Times New Roman"/>
          <w:sz w:val="24"/>
          <w:szCs w:val="24"/>
        </w:rPr>
        <w:t xml:space="preserve"> </w:t>
      </w:r>
      <w:r w:rsidR="00711B1A">
        <w:rPr>
          <w:rFonts w:ascii="Times New Roman" w:hAnsi="Times New Roman" w:cs="Times New Roman"/>
          <w:sz w:val="24"/>
          <w:szCs w:val="24"/>
        </w:rPr>
        <w:t xml:space="preserve">other neonicotinoids, </w:t>
      </w:r>
      <w:r w:rsidR="00AA12E1" w:rsidRPr="00D97EC8">
        <w:rPr>
          <w:rFonts w:ascii="Times New Roman" w:hAnsi="Times New Roman" w:cs="Times New Roman"/>
          <w:sz w:val="24"/>
          <w:szCs w:val="24"/>
        </w:rPr>
        <w:t>Acetamiprid</w:t>
      </w:r>
      <w:r w:rsidR="004A42C5">
        <w:rPr>
          <w:rFonts w:ascii="Times New Roman" w:hAnsi="Times New Roman" w:cs="Times New Roman"/>
          <w:sz w:val="24"/>
          <w:szCs w:val="24"/>
        </w:rPr>
        <w:t xml:space="preserve">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7.07)</w:t>
      </w:r>
      <w:r w:rsidR="002D1F1C">
        <w:rPr>
          <w:rFonts w:ascii="Times New Roman" w:hAnsi="Times New Roman" w:cs="Times New Roman"/>
          <w:sz w:val="24"/>
          <w:szCs w:val="24"/>
        </w:rPr>
        <w:t xml:space="preserve"> and Thiacloprid</w:t>
      </w:r>
      <w:r w:rsidR="004A42C5">
        <w:rPr>
          <w:rFonts w:ascii="Times New Roman" w:hAnsi="Times New Roman" w:cs="Times New Roman"/>
          <w:sz w:val="24"/>
          <w:szCs w:val="24"/>
        </w:rPr>
        <w:t xml:space="preserve">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14.6)</w:t>
      </w:r>
      <w:r w:rsidR="00711B1A">
        <w:rPr>
          <w:rFonts w:ascii="Times New Roman" w:hAnsi="Times New Roman" w:cs="Times New Roman"/>
          <w:sz w:val="24"/>
          <w:szCs w:val="24"/>
        </w:rPr>
        <w:t>,</w:t>
      </w:r>
      <w:r w:rsidR="00AA12E1" w:rsidRPr="00D97EC8">
        <w:rPr>
          <w:rFonts w:ascii="Times New Roman" w:hAnsi="Times New Roman" w:cs="Times New Roman"/>
          <w:sz w:val="24"/>
          <w:szCs w:val="24"/>
        </w:rPr>
        <w:t xml:space="preserve"> </w:t>
      </w:r>
      <w:r w:rsidR="002D1F1C">
        <w:rPr>
          <w:rFonts w:ascii="Times New Roman" w:hAnsi="Times New Roman" w:cs="Times New Roman"/>
          <w:sz w:val="24"/>
          <w:szCs w:val="24"/>
        </w:rPr>
        <w:t>were</w:t>
      </w:r>
      <w:r w:rsidR="00744F8D" w:rsidRPr="00D97EC8">
        <w:rPr>
          <w:rFonts w:ascii="Times New Roman" w:hAnsi="Times New Roman" w:cs="Times New Roman"/>
          <w:sz w:val="24"/>
          <w:szCs w:val="24"/>
        </w:rPr>
        <w:t xml:space="preserve"> </w:t>
      </w:r>
      <w:r w:rsidR="00AA12E1" w:rsidRPr="00D97EC8">
        <w:rPr>
          <w:rFonts w:ascii="Times New Roman" w:hAnsi="Times New Roman" w:cs="Times New Roman"/>
          <w:sz w:val="24"/>
          <w:szCs w:val="24"/>
        </w:rPr>
        <w:t xml:space="preserve">only lethal when administered at a much higher dose </w:t>
      </w:r>
      <w:r w:rsidR="004A42C5">
        <w:rPr>
          <w:rFonts w:ascii="Times New Roman" w:hAnsi="Times New Roman" w:cs="Times New Roman"/>
          <w:sz w:val="24"/>
          <w:szCs w:val="24"/>
        </w:rPr>
        <w:t>than Imidacloprid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0.0179)</w:t>
      </w:r>
      <w:r w:rsidR="00AA12E1" w:rsidRPr="00D97EC8">
        <w:rPr>
          <w:rFonts w:ascii="Times New Roman" w:hAnsi="Times New Roman" w:cs="Times New Roman"/>
          <w:sz w:val="24"/>
          <w:szCs w:val="24"/>
        </w:rPr>
        <w:t xml:space="preserve">. </w:t>
      </w:r>
      <w:r w:rsidR="004A42C5">
        <w:rPr>
          <w:rFonts w:ascii="Times New Roman" w:hAnsi="Times New Roman" w:cs="Times New Roman"/>
          <w:sz w:val="24"/>
          <w:szCs w:val="24"/>
        </w:rPr>
        <w:t>The only structural difference conserved in Acetamiprid and Thiacloprid, but not Imidacloprid is the change of the</w:t>
      </w:r>
      <w:r w:rsidR="00AA12E1" w:rsidRPr="00D97EC8">
        <w:rPr>
          <w:rFonts w:ascii="Times New Roman" w:hAnsi="Times New Roman" w:cs="Times New Roman"/>
          <w:sz w:val="24"/>
          <w:szCs w:val="24"/>
        </w:rPr>
        <w:t xml:space="preserve"> N-terminus end from a nitro-substituted group to a cyano-substituted.  </w:t>
      </w:r>
    </w:p>
    <w:p w:rsidR="008908F6" w:rsidRDefault="00865C67" w:rsidP="00711B1A">
      <w:pPr>
        <w:pStyle w:val="HTMLPreformatted"/>
        <w:shd w:val="clear" w:color="auto" w:fill="FFFFFF"/>
        <w:spacing w:line="254" w:lineRule="atLeast"/>
        <w:rPr>
          <w:rFonts w:ascii="Times New Roman" w:hAnsi="Times New Roman" w:cs="Times New Roman"/>
          <w:sz w:val="24"/>
          <w:szCs w:val="24"/>
        </w:rPr>
      </w:pPr>
      <w:r w:rsidRPr="008908F6">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1EB741FC" wp14:editId="776B19B7">
                <wp:simplePos x="0" y="0"/>
                <wp:positionH relativeFrom="margin">
                  <wp:posOffset>2935421</wp:posOffset>
                </wp:positionH>
                <wp:positionV relativeFrom="paragraph">
                  <wp:posOffset>177370</wp:posOffset>
                </wp:positionV>
                <wp:extent cx="3047365" cy="844550"/>
                <wp:effectExtent l="0" t="0" r="1968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844550"/>
                        </a:xfrm>
                        <a:prstGeom prst="rect">
                          <a:avLst/>
                        </a:prstGeom>
                        <a:solidFill>
                          <a:srgbClr val="FFFFFF"/>
                        </a:solidFill>
                        <a:ln w="9525">
                          <a:solidFill>
                            <a:schemeClr val="bg1"/>
                          </a:solidFill>
                          <a:miter lim="800000"/>
                          <a:headEnd/>
                          <a:tailEnd/>
                        </a:ln>
                      </wps:spPr>
                      <wps:txbx>
                        <w:txbxContent>
                          <w:p w:rsidR="00435F05" w:rsidRPr="008908F6" w:rsidRDefault="00435F05">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Chemical S</w:t>
                            </w:r>
                            <w:r w:rsidRPr="008908F6">
                              <w:rPr>
                                <w:rFonts w:ascii="Times New Roman" w:hAnsi="Times New Roman" w:cs="Times New Roman"/>
                                <w:sz w:val="24"/>
                                <w:szCs w:val="24"/>
                              </w:rPr>
                              <w:t xml:space="preserve">tructures of </w:t>
                            </w:r>
                            <w:r>
                              <w:rPr>
                                <w:rFonts w:ascii="Times New Roman" w:hAnsi="Times New Roman" w:cs="Times New Roman"/>
                                <w:sz w:val="24"/>
                                <w:szCs w:val="24"/>
                              </w:rPr>
                              <w:t>Acetamiprid, Imidacloprid, and Thiacloprid.</w:t>
                            </w:r>
                            <w:r w:rsidRPr="008908F6">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741FC" id="_x0000_t202" coordsize="21600,21600" o:spt="202" path="m,l,21600r21600,l21600,xe">
                <v:stroke joinstyle="miter"/>
                <v:path gradientshapeok="t" o:connecttype="rect"/>
              </v:shapetype>
              <v:shape id="Text Box 2" o:spid="_x0000_s1026" type="#_x0000_t202" style="position:absolute;margin-left:231.15pt;margin-top:13.95pt;width:239.95pt;height: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" strokecolor="white [3212]">
                <v:textbox>
                  <w:txbxContent>
                    <w:p w:rsidR="00435F05" w:rsidRPr="008908F6" w:rsidRDefault="00435F05">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Chemical S</w:t>
                      </w:r>
                      <w:r w:rsidRPr="008908F6">
                        <w:rPr>
                          <w:rFonts w:ascii="Times New Roman" w:hAnsi="Times New Roman" w:cs="Times New Roman"/>
                          <w:sz w:val="24"/>
                          <w:szCs w:val="24"/>
                        </w:rPr>
                        <w:t xml:space="preserve">tructures of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Thiacloprid</w:t>
                      </w:r>
                      <w:proofErr w:type="spellEnd"/>
                      <w:r>
                        <w:rPr>
                          <w:rFonts w:ascii="Times New Roman" w:hAnsi="Times New Roman" w:cs="Times New Roman"/>
                          <w:sz w:val="24"/>
                          <w:szCs w:val="24"/>
                        </w:rPr>
                        <w:t>.</w:t>
                      </w:r>
                      <w:r w:rsidRPr="008908F6">
                        <w:rPr>
                          <w:rFonts w:ascii="Times New Roman" w:hAnsi="Times New Roman" w:cs="Times New Roman"/>
                          <w:sz w:val="24"/>
                          <w:szCs w:val="24"/>
                        </w:rPr>
                        <w:t xml:space="preserve"> </w:t>
                      </w:r>
                    </w:p>
                  </w:txbxContent>
                </v:textbox>
                <w10:wrap type="square" anchorx="margin"/>
              </v:shape>
            </w:pict>
          </mc:Fallback>
        </mc:AlternateContent>
      </w:r>
      <w:r w:rsidRPr="00D97EC8">
        <w:rPr>
          <w:rFonts w:ascii="Times New Roman" w:hAnsi="Times New Roman" w:cs="Times New Roman"/>
          <w:noProof/>
          <w:sz w:val="24"/>
          <w:szCs w:val="24"/>
        </w:rPr>
        <w:drawing>
          <wp:anchor distT="0" distB="0" distL="114300" distR="114300" simplePos="0" relativeHeight="251661312" behindDoc="1" locked="0" layoutInCell="1" allowOverlap="1" wp14:anchorId="64ACEE2B" wp14:editId="5939C2BC">
            <wp:simplePos x="0" y="0"/>
            <wp:positionH relativeFrom="margin">
              <wp:align>left</wp:align>
            </wp:positionH>
            <wp:positionV relativeFrom="paragraph">
              <wp:posOffset>188083</wp:posOffset>
            </wp:positionV>
            <wp:extent cx="2935605" cy="8356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8).png"/>
                    <pic:cNvPicPr/>
                  </pic:nvPicPr>
                  <pic:blipFill rotWithShape="1">
                    <a:blip r:embed="rId8" cstate="print">
                      <a:extLst>
                        <a:ext uri="{28A0092B-C50C-407E-A947-70E740481C1C}">
                          <a14:useLocalDpi xmlns:a14="http://schemas.microsoft.com/office/drawing/2010/main" val="0"/>
                        </a:ext>
                      </a:extLst>
                    </a:blip>
                    <a:srcRect l="5787" t="3637" r="8572" b="62645"/>
                    <a:stretch/>
                  </pic:blipFill>
                  <pic:spPr bwMode="auto">
                    <a:xfrm>
                      <a:off x="0" y="0"/>
                      <a:ext cx="2970905" cy="845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08F6" w:rsidRDefault="008908F6" w:rsidP="00711B1A">
      <w:pPr>
        <w:pStyle w:val="HTMLPreformatted"/>
        <w:shd w:val="clear" w:color="auto" w:fill="FFFFFF"/>
        <w:spacing w:line="254" w:lineRule="atLeast"/>
        <w:rPr>
          <w:rFonts w:ascii="Times New Roman" w:hAnsi="Times New Roman" w:cs="Times New Roman"/>
          <w:sz w:val="24"/>
          <w:szCs w:val="24"/>
        </w:rPr>
      </w:pPr>
    </w:p>
    <w:p w:rsidR="006A59AF" w:rsidRDefault="008908F6" w:rsidP="00711B1A">
      <w:pPr>
        <w:pStyle w:val="HTMLPreformatted"/>
        <w:shd w:val="clear" w:color="auto" w:fill="FFFFFF"/>
        <w:spacing w:line="254"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B5117C">
        <w:rPr>
          <w:rFonts w:ascii="Times New Roman" w:hAnsi="Times New Roman" w:cs="Times New Roman"/>
          <w:sz w:val="24"/>
          <w:szCs w:val="24"/>
        </w:rPr>
        <w:t xml:space="preserve">Although the structure of the nAChR in </w:t>
      </w:r>
      <w:r w:rsidR="00C23336">
        <w:rPr>
          <w:rFonts w:ascii="Times New Roman" w:hAnsi="Times New Roman" w:cs="Times New Roman"/>
          <w:i/>
          <w:sz w:val="24"/>
          <w:szCs w:val="24"/>
        </w:rPr>
        <w:t>Apis m</w:t>
      </w:r>
      <w:r w:rsidR="00B5117C" w:rsidRPr="00C23336">
        <w:rPr>
          <w:rFonts w:ascii="Times New Roman" w:hAnsi="Times New Roman" w:cs="Times New Roman"/>
          <w:i/>
          <w:sz w:val="24"/>
          <w:szCs w:val="24"/>
        </w:rPr>
        <w:t>eliffera</w:t>
      </w:r>
      <w:r w:rsidR="00B5117C">
        <w:rPr>
          <w:rFonts w:ascii="Times New Roman" w:hAnsi="Times New Roman" w:cs="Times New Roman"/>
          <w:sz w:val="24"/>
          <w:szCs w:val="24"/>
        </w:rPr>
        <w:t xml:space="preserve"> is rather undocumented the full crystal structure of the </w:t>
      </w:r>
      <w:r w:rsidR="00B5117C" w:rsidRPr="00507474">
        <w:rPr>
          <w:rFonts w:ascii="Times New Roman" w:hAnsi="Times New Roman" w:cs="Times New Roman"/>
          <w:sz w:val="24"/>
          <w:szCs w:val="24"/>
        </w:rPr>
        <w:t>acetylcholine receptor in the mollusk</w:t>
      </w:r>
      <w:r w:rsidR="00507474">
        <w:rPr>
          <w:rFonts w:ascii="Times New Roman" w:hAnsi="Times New Roman" w:cs="Times New Roman"/>
          <w:sz w:val="24"/>
          <w:szCs w:val="24"/>
        </w:rPr>
        <w:t xml:space="preserve"> Lymnaea S</w:t>
      </w:r>
      <w:r w:rsidR="00B5117C" w:rsidRPr="00507474">
        <w:rPr>
          <w:rFonts w:ascii="Times New Roman" w:hAnsi="Times New Roman" w:cs="Times New Roman"/>
          <w:sz w:val="24"/>
          <w:szCs w:val="24"/>
        </w:rPr>
        <w:t xml:space="preserve">tagnalis is modeled.  </w:t>
      </w:r>
      <w:r w:rsidR="00507474">
        <w:rPr>
          <w:rFonts w:ascii="Times New Roman" w:hAnsi="Times New Roman" w:cs="Times New Roman"/>
          <w:color w:val="000000"/>
          <w:sz w:val="24"/>
          <w:szCs w:val="24"/>
          <w:shd w:val="clear" w:color="auto" w:fill="FFFFFF"/>
        </w:rPr>
        <w:t>In Lymnaea Stagnalis th</w:t>
      </w:r>
      <w:r w:rsidR="00711B1A">
        <w:rPr>
          <w:rFonts w:ascii="Times New Roman" w:hAnsi="Times New Roman" w:cs="Times New Roman"/>
          <w:color w:val="000000"/>
          <w:sz w:val="24"/>
          <w:szCs w:val="24"/>
          <w:shd w:val="clear" w:color="auto" w:fill="FFFFFF"/>
        </w:rPr>
        <w:t xml:space="preserve">e </w:t>
      </w:r>
      <w:r w:rsidR="00890D34">
        <w:rPr>
          <w:rFonts w:ascii="Times New Roman" w:hAnsi="Times New Roman" w:cs="Times New Roman"/>
          <w:color w:val="000000"/>
          <w:sz w:val="24"/>
          <w:szCs w:val="24"/>
          <w:shd w:val="clear" w:color="auto" w:fill="FFFFFF"/>
        </w:rPr>
        <w:t>Acetylcholine Binding Protein (</w:t>
      </w:r>
      <w:r w:rsidR="00711B1A">
        <w:rPr>
          <w:rFonts w:ascii="Times New Roman" w:hAnsi="Times New Roman" w:cs="Times New Roman"/>
          <w:color w:val="000000"/>
          <w:sz w:val="24"/>
          <w:szCs w:val="24"/>
          <w:shd w:val="clear" w:color="auto" w:fill="FFFFFF"/>
        </w:rPr>
        <w:t>AChBP</w:t>
      </w:r>
      <w:r w:rsidR="00890D34">
        <w:rPr>
          <w:rFonts w:ascii="Times New Roman" w:hAnsi="Times New Roman" w:cs="Times New Roman"/>
          <w:color w:val="000000"/>
          <w:sz w:val="24"/>
          <w:szCs w:val="24"/>
          <w:shd w:val="clear" w:color="auto" w:fill="FFFFFF"/>
        </w:rPr>
        <w:t>)</w:t>
      </w:r>
      <w:r w:rsidR="00711B1A">
        <w:rPr>
          <w:rFonts w:ascii="Times New Roman" w:hAnsi="Times New Roman" w:cs="Times New Roman"/>
          <w:color w:val="000000"/>
          <w:sz w:val="24"/>
          <w:szCs w:val="24"/>
          <w:shd w:val="clear" w:color="auto" w:fill="FFFFFF"/>
        </w:rPr>
        <w:t xml:space="preserve"> has high homology with the N-terminal region (23.9% identity) of the a7</w:t>
      </w:r>
      <w:r w:rsidR="003B0CD2">
        <w:rPr>
          <w:rFonts w:ascii="Times New Roman" w:hAnsi="Times New Roman" w:cs="Times New Roman"/>
          <w:color w:val="000000"/>
          <w:sz w:val="24"/>
          <w:szCs w:val="24"/>
          <w:shd w:val="clear" w:color="auto" w:fill="FFFFFF"/>
        </w:rPr>
        <w:t xml:space="preserve"> subunit</w:t>
      </w:r>
      <w:r w:rsidR="00711B1A">
        <w:rPr>
          <w:rFonts w:ascii="Times New Roman" w:hAnsi="Times New Roman" w:cs="Times New Roman"/>
          <w:color w:val="000000"/>
          <w:sz w:val="24"/>
          <w:szCs w:val="24"/>
          <w:shd w:val="clear" w:color="auto" w:fill="FFFFFF"/>
        </w:rPr>
        <w:t xml:space="preserve"> and forms a hompentamer (Smit et al, 2001).  When binding was simulated</w:t>
      </w:r>
      <w:r w:rsidR="009A2103">
        <w:rPr>
          <w:rFonts w:ascii="Times New Roman" w:hAnsi="Times New Roman" w:cs="Times New Roman"/>
          <w:color w:val="000000"/>
          <w:sz w:val="24"/>
          <w:szCs w:val="24"/>
          <w:shd w:val="clear" w:color="auto" w:fill="FFFFFF"/>
        </w:rPr>
        <w:t xml:space="preserve"> </w:t>
      </w:r>
      <w:r w:rsidR="00504D74">
        <w:rPr>
          <w:rFonts w:ascii="Times New Roman" w:hAnsi="Times New Roman" w:cs="Times New Roman"/>
          <w:color w:val="000000"/>
          <w:sz w:val="24"/>
          <w:szCs w:val="24"/>
          <w:shd w:val="clear" w:color="auto" w:fill="FFFFFF"/>
        </w:rPr>
        <w:t>in Ligand</w:t>
      </w:r>
      <w:r w:rsidR="009A2103">
        <w:rPr>
          <w:rFonts w:ascii="Times New Roman" w:hAnsi="Times New Roman" w:cs="Times New Roman"/>
          <w:color w:val="000000"/>
          <w:sz w:val="24"/>
          <w:szCs w:val="24"/>
          <w:shd w:val="clear" w:color="auto" w:fill="FFFFFF"/>
        </w:rPr>
        <w:t xml:space="preserve"> Explorer</w:t>
      </w:r>
      <w:r w:rsidR="00504D74">
        <w:rPr>
          <w:rFonts w:ascii="Times New Roman" w:hAnsi="Times New Roman" w:cs="Times New Roman"/>
          <w:color w:val="000000"/>
          <w:sz w:val="24"/>
          <w:szCs w:val="24"/>
          <w:shd w:val="clear" w:color="auto" w:fill="FFFFFF"/>
        </w:rPr>
        <w:t>, Q55 and C187 of</w:t>
      </w:r>
      <w:r w:rsidR="00711B1A">
        <w:rPr>
          <w:rFonts w:ascii="Times New Roman" w:hAnsi="Times New Roman" w:cs="Times New Roman"/>
          <w:color w:val="000000"/>
          <w:sz w:val="24"/>
          <w:szCs w:val="24"/>
          <w:shd w:val="clear" w:color="auto" w:fill="FFFFFF"/>
        </w:rPr>
        <w:t xml:space="preserve"> Lymnaea A</w:t>
      </w:r>
      <w:r w:rsidR="009A2103">
        <w:rPr>
          <w:rFonts w:ascii="Times New Roman" w:hAnsi="Times New Roman" w:cs="Times New Roman"/>
          <w:color w:val="000000"/>
          <w:sz w:val="24"/>
          <w:szCs w:val="24"/>
          <w:shd w:val="clear" w:color="auto" w:fill="FFFFFF"/>
        </w:rPr>
        <w:t>Ch</w:t>
      </w:r>
      <w:r w:rsidR="00BF3C03">
        <w:rPr>
          <w:rFonts w:ascii="Times New Roman" w:hAnsi="Times New Roman" w:cs="Times New Roman"/>
          <w:color w:val="000000"/>
          <w:sz w:val="24"/>
          <w:szCs w:val="24"/>
          <w:shd w:val="clear" w:color="auto" w:fill="FFFFFF"/>
        </w:rPr>
        <w:t>BP</w:t>
      </w:r>
      <w:r w:rsidR="00504D74">
        <w:rPr>
          <w:rFonts w:ascii="Times New Roman" w:hAnsi="Times New Roman" w:cs="Times New Roman"/>
          <w:color w:val="000000"/>
          <w:sz w:val="24"/>
          <w:szCs w:val="24"/>
          <w:shd w:val="clear" w:color="auto" w:fill="FFFFFF"/>
        </w:rPr>
        <w:t xml:space="preserve"> were both shown to bond to the nitro group of Imidacloprid.  C187</w:t>
      </w:r>
      <w:r w:rsidR="00A11499">
        <w:rPr>
          <w:rFonts w:ascii="Times New Roman" w:hAnsi="Times New Roman" w:cs="Times New Roman"/>
          <w:color w:val="000000"/>
          <w:sz w:val="24"/>
          <w:szCs w:val="24"/>
          <w:shd w:val="clear" w:color="auto" w:fill="FFFFFF"/>
        </w:rPr>
        <w:t xml:space="preserve"> corresponds to G189 in the chicken a7 subunit</w:t>
      </w:r>
      <w:r w:rsidR="00BF3C03">
        <w:rPr>
          <w:rFonts w:ascii="Times New Roman" w:hAnsi="Times New Roman" w:cs="Times New Roman"/>
          <w:color w:val="000000"/>
          <w:sz w:val="24"/>
          <w:szCs w:val="24"/>
          <w:shd w:val="clear" w:color="auto" w:fill="FFFFFF"/>
        </w:rPr>
        <w:t xml:space="preserve"> (</w:t>
      </w:r>
      <w:r w:rsidR="00C23336">
        <w:rPr>
          <w:rFonts w:ascii="Times New Roman" w:hAnsi="Times New Roman" w:cs="Times New Roman"/>
          <w:color w:val="000000"/>
          <w:sz w:val="24"/>
          <w:szCs w:val="24"/>
          <w:shd w:val="clear" w:color="auto" w:fill="FFFFFF"/>
        </w:rPr>
        <w:t>Matsuda</w:t>
      </w:r>
      <w:r w:rsidR="00BF3C03">
        <w:rPr>
          <w:rFonts w:ascii="Times New Roman" w:hAnsi="Times New Roman" w:cs="Times New Roman"/>
          <w:color w:val="000000"/>
          <w:sz w:val="24"/>
          <w:szCs w:val="24"/>
          <w:shd w:val="clear" w:color="auto" w:fill="FFFFFF"/>
        </w:rPr>
        <w:t xml:space="preserve"> et al</w:t>
      </w:r>
      <w:r w:rsidR="006A59AF">
        <w:rPr>
          <w:rFonts w:ascii="Times New Roman" w:hAnsi="Times New Roman" w:cs="Times New Roman"/>
          <w:color w:val="000000"/>
          <w:sz w:val="24"/>
          <w:szCs w:val="24"/>
          <w:shd w:val="clear" w:color="auto" w:fill="FFFFFF"/>
        </w:rPr>
        <w:t>.</w:t>
      </w:r>
      <w:r w:rsidR="00BF3C03">
        <w:rPr>
          <w:rFonts w:ascii="Times New Roman" w:hAnsi="Times New Roman" w:cs="Times New Roman"/>
          <w:color w:val="000000"/>
          <w:sz w:val="24"/>
          <w:szCs w:val="24"/>
          <w:shd w:val="clear" w:color="auto" w:fill="FFFFFF"/>
        </w:rPr>
        <w:t>, 2002)</w:t>
      </w:r>
      <w:r w:rsidR="00890D34">
        <w:rPr>
          <w:rFonts w:ascii="Times New Roman" w:hAnsi="Times New Roman" w:cs="Times New Roman"/>
          <w:color w:val="000000"/>
          <w:sz w:val="24"/>
          <w:szCs w:val="24"/>
          <w:shd w:val="clear" w:color="auto" w:fill="FFFFFF"/>
        </w:rPr>
        <w:t>.</w:t>
      </w:r>
      <w:r w:rsidR="006A59AF">
        <w:rPr>
          <w:rFonts w:ascii="Times New Roman" w:hAnsi="Times New Roman" w:cs="Times New Roman"/>
          <w:color w:val="000000"/>
          <w:sz w:val="24"/>
          <w:szCs w:val="24"/>
          <w:shd w:val="clear" w:color="auto" w:fill="FFFFFF"/>
        </w:rPr>
        <w:t xml:space="preserve">  Matsuda et al. </w:t>
      </w:r>
      <w:r w:rsidR="00890D34">
        <w:rPr>
          <w:rFonts w:ascii="Times New Roman" w:hAnsi="Times New Roman" w:cs="Times New Roman"/>
          <w:color w:val="000000"/>
          <w:sz w:val="24"/>
          <w:szCs w:val="24"/>
          <w:shd w:val="clear" w:color="auto" w:fill="FFFFFF"/>
        </w:rPr>
        <w:t>tested receptors containing the</w:t>
      </w:r>
      <w:r w:rsidR="006A59AF">
        <w:rPr>
          <w:rFonts w:ascii="Times New Roman" w:hAnsi="Times New Roman" w:cs="Times New Roman"/>
          <w:color w:val="000000"/>
          <w:sz w:val="24"/>
          <w:szCs w:val="24"/>
          <w:shd w:val="clear" w:color="auto" w:fill="FFFFFF"/>
        </w:rPr>
        <w:t xml:space="preserve"> mutations </w:t>
      </w:r>
      <w:r w:rsidR="00890D34">
        <w:rPr>
          <w:rFonts w:ascii="Times New Roman" w:hAnsi="Times New Roman" w:cs="Times New Roman"/>
          <w:color w:val="000000"/>
          <w:sz w:val="24"/>
          <w:szCs w:val="24"/>
          <w:shd w:val="clear" w:color="auto" w:fill="FFFFFF"/>
        </w:rPr>
        <w:t xml:space="preserve">G189E and G189D on the chicken a7 subunit for </w:t>
      </w:r>
      <w:r w:rsidR="006A59AF">
        <w:rPr>
          <w:rFonts w:ascii="Times New Roman" w:hAnsi="Times New Roman" w:cs="Times New Roman"/>
          <w:color w:val="000000"/>
          <w:sz w:val="24"/>
          <w:szCs w:val="24"/>
          <w:shd w:val="clear" w:color="auto" w:fill="FFFFFF"/>
        </w:rPr>
        <w:t xml:space="preserve">affinity to the agonists Imidacloprid, Nicotine, and </w:t>
      </w:r>
      <w:r w:rsidR="006A59AF">
        <w:rPr>
          <w:rFonts w:ascii="Times New Roman" w:hAnsi="Times New Roman" w:cs="Times New Roman"/>
          <w:color w:val="000000"/>
          <w:sz w:val="24"/>
          <w:szCs w:val="24"/>
          <w:shd w:val="clear" w:color="auto" w:fill="FFFFFF"/>
        </w:rPr>
        <w:lastRenderedPageBreak/>
        <w:t>Acetylcholine</w:t>
      </w:r>
      <w:r w:rsidR="00890D34">
        <w:rPr>
          <w:rFonts w:ascii="Times New Roman" w:hAnsi="Times New Roman" w:cs="Times New Roman"/>
          <w:color w:val="000000"/>
          <w:sz w:val="24"/>
          <w:szCs w:val="24"/>
          <w:shd w:val="clear" w:color="auto" w:fill="FFFFFF"/>
        </w:rPr>
        <w:t>.  They found a statistically significant reduction in affinity of the receptor to</w:t>
      </w:r>
      <w:r w:rsidR="006A59AF">
        <w:rPr>
          <w:rFonts w:ascii="Times New Roman" w:hAnsi="Times New Roman" w:cs="Times New Roman"/>
          <w:color w:val="000000"/>
          <w:sz w:val="24"/>
          <w:szCs w:val="24"/>
          <w:shd w:val="clear" w:color="auto" w:fill="FFFFFF"/>
        </w:rPr>
        <w:t xml:space="preserve"> Imidacloprid</w:t>
      </w:r>
      <w:r w:rsidR="00890D34">
        <w:rPr>
          <w:rFonts w:ascii="Times New Roman" w:hAnsi="Times New Roman" w:cs="Times New Roman"/>
          <w:color w:val="000000"/>
          <w:sz w:val="24"/>
          <w:szCs w:val="24"/>
          <w:shd w:val="clear" w:color="auto" w:fill="FFFFFF"/>
        </w:rPr>
        <w:t>, but no change in response when the other agonists were introduced</w:t>
      </w:r>
      <w:r w:rsidR="006A59AF">
        <w:rPr>
          <w:rFonts w:ascii="Times New Roman" w:hAnsi="Times New Roman" w:cs="Times New Roman"/>
          <w:color w:val="000000"/>
          <w:sz w:val="24"/>
          <w:szCs w:val="24"/>
          <w:shd w:val="clear" w:color="auto" w:fill="FFFFFF"/>
        </w:rPr>
        <w:t>.  This led them to conclude that this reduction in affinity</w:t>
      </w:r>
      <w:r w:rsidR="00890D34">
        <w:rPr>
          <w:rFonts w:ascii="Times New Roman" w:hAnsi="Times New Roman" w:cs="Times New Roman"/>
          <w:color w:val="000000"/>
          <w:sz w:val="24"/>
          <w:szCs w:val="24"/>
          <w:shd w:val="clear" w:color="auto" w:fill="FFFFFF"/>
        </w:rPr>
        <w:t xml:space="preserve"> is a </w:t>
      </w:r>
      <w:r w:rsidR="006A59AF">
        <w:rPr>
          <w:rFonts w:ascii="Times New Roman" w:hAnsi="Times New Roman" w:cs="Times New Roman"/>
          <w:color w:val="000000"/>
          <w:sz w:val="24"/>
          <w:szCs w:val="24"/>
          <w:shd w:val="clear" w:color="auto" w:fill="FFFFFF"/>
        </w:rPr>
        <w:t xml:space="preserve">result of the loss of </w:t>
      </w:r>
      <w:r w:rsidR="00504D74">
        <w:rPr>
          <w:noProof/>
        </w:rPr>
        <w:drawing>
          <wp:anchor distT="0" distB="0" distL="114300" distR="114300" simplePos="0" relativeHeight="251676672" behindDoc="0" locked="0" layoutInCell="1" allowOverlap="1" wp14:anchorId="4C1500E5" wp14:editId="5CD01F31">
            <wp:simplePos x="0" y="0"/>
            <wp:positionH relativeFrom="column">
              <wp:posOffset>171450</wp:posOffset>
            </wp:positionH>
            <wp:positionV relativeFrom="paragraph">
              <wp:posOffset>844550</wp:posOffset>
            </wp:positionV>
            <wp:extent cx="2216785" cy="185483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3).png"/>
                    <pic:cNvPicPr/>
                  </pic:nvPicPr>
                  <pic:blipFill rotWithShape="1">
                    <a:blip r:embed="rId9" cstate="print">
                      <a:extLst>
                        <a:ext uri="{28A0092B-C50C-407E-A947-70E740481C1C}">
                          <a14:useLocalDpi xmlns:a14="http://schemas.microsoft.com/office/drawing/2010/main" val="0"/>
                        </a:ext>
                      </a:extLst>
                    </a:blip>
                    <a:srcRect l="47317" t="30880" r="23367" b="25445"/>
                    <a:stretch/>
                  </pic:blipFill>
                  <pic:spPr bwMode="auto">
                    <a:xfrm>
                      <a:off x="0" y="0"/>
                      <a:ext cx="2216785" cy="185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9AF">
        <w:rPr>
          <w:rFonts w:ascii="Times New Roman" w:hAnsi="Times New Roman" w:cs="Times New Roman"/>
          <w:color w:val="000000"/>
          <w:sz w:val="24"/>
          <w:szCs w:val="24"/>
          <w:shd w:val="clear" w:color="auto" w:fill="FFFFFF"/>
        </w:rPr>
        <w:t xml:space="preserve">electrostatic interactions </w:t>
      </w:r>
      <w:r w:rsidR="00890D34" w:rsidRPr="00890D34">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3600" behindDoc="0" locked="0" layoutInCell="1" allowOverlap="1" wp14:anchorId="1E109A89" wp14:editId="7E052F6A">
                <wp:simplePos x="0" y="0"/>
                <wp:positionH relativeFrom="column">
                  <wp:posOffset>2684145</wp:posOffset>
                </wp:positionH>
                <wp:positionV relativeFrom="paragraph">
                  <wp:posOffset>899160</wp:posOffset>
                </wp:positionV>
                <wp:extent cx="3598545" cy="1685290"/>
                <wp:effectExtent l="0" t="0" r="2095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685290"/>
                        </a:xfrm>
                        <a:prstGeom prst="rect">
                          <a:avLst/>
                        </a:prstGeom>
                        <a:solidFill>
                          <a:srgbClr val="FFFFFF"/>
                        </a:solidFill>
                        <a:ln w="9525">
                          <a:solidFill>
                            <a:schemeClr val="bg1"/>
                          </a:solidFill>
                          <a:miter lim="800000"/>
                          <a:headEnd/>
                          <a:tailEnd/>
                        </a:ln>
                      </wps:spPr>
                      <wps:txbx>
                        <w:txbxContent>
                          <w:p w:rsidR="00435F05" w:rsidRPr="00865C67" w:rsidRDefault="00435F05">
                            <w:pPr>
                              <w:rPr>
                                <w:rFonts w:ascii="Times New Roman" w:hAnsi="Times New Roman" w:cs="Times New Roman"/>
                                <w:sz w:val="24"/>
                                <w:szCs w:val="24"/>
                              </w:rPr>
                            </w:pPr>
                            <w:r>
                              <w:rPr>
                                <w:rFonts w:ascii="Times New Roman" w:hAnsi="Times New Roman" w:cs="Times New Roman"/>
                                <w:b/>
                                <w:sz w:val="24"/>
                                <w:szCs w:val="24"/>
                              </w:rPr>
                              <w:t>Figu</w:t>
                            </w:r>
                            <w:r w:rsidRPr="00865C67">
                              <w:rPr>
                                <w:rFonts w:ascii="Times New Roman" w:hAnsi="Times New Roman" w:cs="Times New Roman"/>
                                <w:b/>
                                <w:sz w:val="24"/>
                                <w:szCs w:val="24"/>
                              </w:rPr>
                              <w:t xml:space="preserve">re 2. </w:t>
                            </w:r>
                            <w:r w:rsidRPr="00865C67">
                              <w:rPr>
                                <w:rFonts w:ascii="Times New Roman" w:hAnsi="Times New Roman" w:cs="Times New Roman"/>
                                <w:sz w:val="24"/>
                                <w:szCs w:val="24"/>
                              </w:rPr>
                              <w:t>The structure of the agonist binding domain of AChBP</w:t>
                            </w:r>
                            <w:r>
                              <w:rPr>
                                <w:rFonts w:ascii="Times New Roman" w:hAnsi="Times New Roman" w:cs="Times New Roman"/>
                                <w:sz w:val="24"/>
                                <w:szCs w:val="24"/>
                              </w:rPr>
                              <w:t xml:space="preserve"> </w:t>
                            </w:r>
                            <w:r w:rsidRPr="00865C67">
                              <w:rPr>
                                <w:rFonts w:ascii="Times New Roman" w:hAnsi="Times New Roman" w:cs="Times New Roman"/>
                                <w:sz w:val="24"/>
                                <w:szCs w:val="24"/>
                              </w:rPr>
                              <w:t xml:space="preserve">from the mollusk </w:t>
                            </w:r>
                            <w:r w:rsidRPr="00D716F9">
                              <w:rPr>
                                <w:rFonts w:ascii="Times New Roman" w:hAnsi="Times New Roman" w:cs="Times New Roman"/>
                                <w:i/>
                                <w:sz w:val="24"/>
                                <w:szCs w:val="24"/>
                              </w:rPr>
                              <w:t>Lymnaea stagnalis</w:t>
                            </w:r>
                            <w:r>
                              <w:rPr>
                                <w:rFonts w:ascii="Times New Roman" w:hAnsi="Times New Roman" w:cs="Times New Roman"/>
                                <w:sz w:val="24"/>
                                <w:szCs w:val="24"/>
                              </w:rPr>
                              <w:t xml:space="preserve"> when bonded with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Q55 an</w:t>
                            </w:r>
                            <w:r>
                              <w:rPr>
                                <w:rFonts w:ascii="Times New Roman" w:hAnsi="Times New Roman" w:cs="Times New Roman"/>
                                <w:color w:val="000000"/>
                                <w:sz w:val="24"/>
                                <w:szCs w:val="24"/>
                                <w:shd w:val="clear" w:color="auto" w:fill="FFFFFF"/>
                              </w:rPr>
                              <w:t>d C187 of AChBP, which are colo</w:t>
                            </w:r>
                            <w:r w:rsidRPr="00865C67">
                              <w:rPr>
                                <w:rFonts w:ascii="Times New Roman" w:hAnsi="Times New Roman" w:cs="Times New Roman"/>
                                <w:color w:val="000000"/>
                                <w:sz w:val="24"/>
                                <w:szCs w:val="24"/>
                                <w:shd w:val="clear" w:color="auto" w:fill="FFFFFF"/>
                              </w:rPr>
                              <w:t>red green, correspond to Q79 and G189, respectively, of the chicken α7 subunit</w:t>
                            </w:r>
                            <w:r>
                              <w:rPr>
                                <w:rFonts w:ascii="Times New Roman" w:hAnsi="Times New Roman" w:cs="Times New Roman"/>
                                <w:color w:val="000000"/>
                                <w:sz w:val="24"/>
                                <w:szCs w:val="24"/>
                                <w:shd w:val="clear" w:color="auto" w:fill="FFFFFF"/>
                              </w:rPr>
                              <w:t xml:space="preserve"> (Shimomura et al., 2002).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09A89" id="_x0000_s1027" type="#_x0000_t202" style="position:absolute;margin-left:211.35pt;margin-top:70.8pt;width:283.35pt;height:13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" strokecolor="white [3212]">
                <v:textbox>
                  <w:txbxContent>
                    <w:p w:rsidR="00435F05" w:rsidRPr="00865C67" w:rsidRDefault="00435F05">
                      <w:pPr>
                        <w:rPr>
                          <w:rFonts w:ascii="Times New Roman" w:hAnsi="Times New Roman" w:cs="Times New Roman"/>
                          <w:sz w:val="24"/>
                          <w:szCs w:val="24"/>
                        </w:rPr>
                      </w:pPr>
                      <w:r>
                        <w:rPr>
                          <w:rFonts w:ascii="Times New Roman" w:hAnsi="Times New Roman" w:cs="Times New Roman"/>
                          <w:b/>
                          <w:sz w:val="24"/>
                          <w:szCs w:val="24"/>
                        </w:rPr>
                        <w:t>Figu</w:t>
                      </w:r>
                      <w:r w:rsidRPr="00865C67">
                        <w:rPr>
                          <w:rFonts w:ascii="Times New Roman" w:hAnsi="Times New Roman" w:cs="Times New Roman"/>
                          <w:b/>
                          <w:sz w:val="24"/>
                          <w:szCs w:val="24"/>
                        </w:rPr>
                        <w:t xml:space="preserve">re 2. </w:t>
                      </w:r>
                      <w:r w:rsidRPr="00865C67">
                        <w:rPr>
                          <w:rFonts w:ascii="Times New Roman" w:hAnsi="Times New Roman" w:cs="Times New Roman"/>
                          <w:sz w:val="24"/>
                          <w:szCs w:val="24"/>
                        </w:rPr>
                        <w:t xml:space="preserve">The structure of the agonist binding domain of </w:t>
                      </w:r>
                      <w:proofErr w:type="spellStart"/>
                      <w:r w:rsidRPr="00865C67">
                        <w:rPr>
                          <w:rFonts w:ascii="Times New Roman" w:hAnsi="Times New Roman" w:cs="Times New Roman"/>
                          <w:sz w:val="24"/>
                          <w:szCs w:val="24"/>
                        </w:rPr>
                        <w:t>AChBP</w:t>
                      </w:r>
                      <w:proofErr w:type="spellEnd"/>
                      <w:r>
                        <w:rPr>
                          <w:rFonts w:ascii="Times New Roman" w:hAnsi="Times New Roman" w:cs="Times New Roman"/>
                          <w:sz w:val="24"/>
                          <w:szCs w:val="24"/>
                        </w:rPr>
                        <w:t xml:space="preserve"> </w:t>
                      </w:r>
                      <w:r w:rsidRPr="00865C67">
                        <w:rPr>
                          <w:rFonts w:ascii="Times New Roman" w:hAnsi="Times New Roman" w:cs="Times New Roman"/>
                          <w:sz w:val="24"/>
                          <w:szCs w:val="24"/>
                        </w:rPr>
                        <w:t xml:space="preserve">from the mollusk </w:t>
                      </w:r>
                      <w:proofErr w:type="spellStart"/>
                      <w:r w:rsidRPr="00D716F9">
                        <w:rPr>
                          <w:rFonts w:ascii="Times New Roman" w:hAnsi="Times New Roman" w:cs="Times New Roman"/>
                          <w:i/>
                          <w:sz w:val="24"/>
                          <w:szCs w:val="24"/>
                        </w:rPr>
                        <w:t>Lymnaea</w:t>
                      </w:r>
                      <w:proofErr w:type="spellEnd"/>
                      <w:r w:rsidRPr="00D716F9">
                        <w:rPr>
                          <w:rFonts w:ascii="Times New Roman" w:hAnsi="Times New Roman" w:cs="Times New Roman"/>
                          <w:i/>
                          <w:sz w:val="24"/>
                          <w:szCs w:val="24"/>
                        </w:rPr>
                        <w:t xml:space="preserve"> </w:t>
                      </w:r>
                      <w:proofErr w:type="spellStart"/>
                      <w:r w:rsidRPr="00D716F9">
                        <w:rPr>
                          <w:rFonts w:ascii="Times New Roman" w:hAnsi="Times New Roman" w:cs="Times New Roman"/>
                          <w:i/>
                          <w:sz w:val="24"/>
                          <w:szCs w:val="24"/>
                        </w:rPr>
                        <w:t>stagnalis</w:t>
                      </w:r>
                      <w:proofErr w:type="spellEnd"/>
                      <w:r>
                        <w:rPr>
                          <w:rFonts w:ascii="Times New Roman" w:hAnsi="Times New Roman" w:cs="Times New Roman"/>
                          <w:sz w:val="24"/>
                          <w:szCs w:val="24"/>
                        </w:rPr>
                        <w:t xml:space="preserve"> when bonded with </w:t>
                      </w:r>
                      <w:proofErr w:type="spellStart"/>
                      <w:r>
                        <w:rPr>
                          <w:rFonts w:ascii="Times New Roman" w:hAnsi="Times New Roman" w:cs="Times New Roman"/>
                          <w:sz w:val="24"/>
                          <w:szCs w:val="24"/>
                        </w:rPr>
                        <w:t>Imidacloprid</w:t>
                      </w:r>
                      <w:proofErr w:type="spellEnd"/>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Q55 an</w:t>
                      </w:r>
                      <w:r>
                        <w:rPr>
                          <w:rFonts w:ascii="Times New Roman" w:hAnsi="Times New Roman" w:cs="Times New Roman"/>
                          <w:color w:val="000000"/>
                          <w:sz w:val="24"/>
                          <w:szCs w:val="24"/>
                          <w:shd w:val="clear" w:color="auto" w:fill="FFFFFF"/>
                        </w:rPr>
                        <w:t xml:space="preserve">d C187 of </w:t>
                      </w:r>
                      <w:proofErr w:type="spellStart"/>
                      <w:r>
                        <w:rPr>
                          <w:rFonts w:ascii="Times New Roman" w:hAnsi="Times New Roman" w:cs="Times New Roman"/>
                          <w:color w:val="000000"/>
                          <w:sz w:val="24"/>
                          <w:szCs w:val="24"/>
                          <w:shd w:val="clear" w:color="auto" w:fill="FFFFFF"/>
                        </w:rPr>
                        <w:t>AChBP</w:t>
                      </w:r>
                      <w:proofErr w:type="spellEnd"/>
                      <w:r>
                        <w:rPr>
                          <w:rFonts w:ascii="Times New Roman" w:hAnsi="Times New Roman" w:cs="Times New Roman"/>
                          <w:color w:val="000000"/>
                          <w:sz w:val="24"/>
                          <w:szCs w:val="24"/>
                          <w:shd w:val="clear" w:color="auto" w:fill="FFFFFF"/>
                        </w:rPr>
                        <w:t>, which are colo</w:t>
                      </w:r>
                      <w:r w:rsidRPr="00865C67">
                        <w:rPr>
                          <w:rFonts w:ascii="Times New Roman" w:hAnsi="Times New Roman" w:cs="Times New Roman"/>
                          <w:color w:val="000000"/>
                          <w:sz w:val="24"/>
                          <w:szCs w:val="24"/>
                          <w:shd w:val="clear" w:color="auto" w:fill="FFFFFF"/>
                        </w:rPr>
                        <w:t>red green, correspond to Q79 and G189, respectively, of the chicken α7 subunit</w:t>
                      </w:r>
                      <w:r>
                        <w:rPr>
                          <w:rFonts w:ascii="Times New Roman" w:hAnsi="Times New Roman" w:cs="Times New Roman"/>
                          <w:color w:val="000000"/>
                          <w:sz w:val="24"/>
                          <w:szCs w:val="24"/>
                          <w:shd w:val="clear" w:color="auto" w:fill="FFFFFF"/>
                        </w:rPr>
                        <w:t xml:space="preserve"> (Shimomura et al., 2002).  </w:t>
                      </w:r>
                    </w:p>
                  </w:txbxContent>
                </v:textbox>
                <w10:wrap type="square"/>
              </v:shape>
            </w:pict>
          </mc:Fallback>
        </mc:AlternateContent>
      </w:r>
      <w:r w:rsidR="006A59AF">
        <w:rPr>
          <w:rFonts w:ascii="Times New Roman" w:hAnsi="Times New Roman" w:cs="Times New Roman"/>
          <w:color w:val="000000"/>
          <w:sz w:val="24"/>
          <w:szCs w:val="24"/>
          <w:shd w:val="clear" w:color="auto" w:fill="FFFFFF"/>
        </w:rPr>
        <w:t>between the nit</w:t>
      </w:r>
      <w:r w:rsidR="00890D34">
        <w:rPr>
          <w:rFonts w:ascii="Times New Roman" w:hAnsi="Times New Roman" w:cs="Times New Roman"/>
          <w:color w:val="000000"/>
          <w:sz w:val="24"/>
          <w:szCs w:val="24"/>
          <w:shd w:val="clear" w:color="auto" w:fill="FFFFFF"/>
        </w:rPr>
        <w:t>ro group of Imidacloprid and</w:t>
      </w:r>
      <w:r w:rsidR="00865C67">
        <w:rPr>
          <w:rFonts w:ascii="Times New Roman" w:hAnsi="Times New Roman" w:cs="Times New Roman"/>
          <w:color w:val="000000"/>
          <w:sz w:val="24"/>
          <w:szCs w:val="24"/>
          <w:shd w:val="clear" w:color="auto" w:fill="FFFFFF"/>
        </w:rPr>
        <w:t xml:space="preserve"> G</w:t>
      </w:r>
      <w:r w:rsidR="00890D34">
        <w:rPr>
          <w:rFonts w:ascii="Times New Roman" w:hAnsi="Times New Roman" w:cs="Times New Roman"/>
          <w:color w:val="000000"/>
          <w:sz w:val="24"/>
          <w:szCs w:val="24"/>
          <w:shd w:val="clear" w:color="auto" w:fill="FFFFFF"/>
        </w:rPr>
        <w:t>189</w:t>
      </w:r>
      <w:r w:rsidR="006A59AF">
        <w:rPr>
          <w:rFonts w:ascii="Times New Roman" w:hAnsi="Times New Roman" w:cs="Times New Roman"/>
          <w:color w:val="000000"/>
          <w:sz w:val="24"/>
          <w:szCs w:val="24"/>
          <w:shd w:val="clear" w:color="auto" w:fill="FFFFFF"/>
        </w:rPr>
        <w:t xml:space="preserve">.  </w:t>
      </w:r>
      <w:r w:rsidR="009A2103">
        <w:rPr>
          <w:rFonts w:ascii="Times New Roman" w:hAnsi="Times New Roman" w:cs="Times New Roman"/>
          <w:color w:val="000000"/>
          <w:sz w:val="24"/>
          <w:szCs w:val="24"/>
          <w:shd w:val="clear" w:color="auto" w:fill="FFFFFF"/>
        </w:rPr>
        <w:t xml:space="preserve"> </w:t>
      </w:r>
    </w:p>
    <w:p w:rsidR="006A59AF" w:rsidRDefault="006A59AF" w:rsidP="00711B1A">
      <w:pPr>
        <w:pStyle w:val="HTMLPreformatted"/>
        <w:shd w:val="clear" w:color="auto" w:fill="FFFFFF"/>
        <w:spacing w:line="254" w:lineRule="atLeast"/>
        <w:rPr>
          <w:rFonts w:ascii="Times New Roman" w:hAnsi="Times New Roman" w:cs="Times New Roman"/>
          <w:color w:val="000000"/>
          <w:sz w:val="24"/>
          <w:szCs w:val="24"/>
          <w:shd w:val="clear" w:color="auto" w:fill="FFFFFF"/>
        </w:rPr>
      </w:pPr>
    </w:p>
    <w:p w:rsidR="006A59AF" w:rsidRDefault="006A59AF" w:rsidP="00711B1A">
      <w:pPr>
        <w:pStyle w:val="HTMLPreformatted"/>
        <w:shd w:val="clear" w:color="auto" w:fill="FFFFFF"/>
        <w:spacing w:line="254" w:lineRule="atLeast"/>
        <w:rPr>
          <w:rFonts w:ascii="Times New Roman" w:hAnsi="Times New Roman" w:cs="Times New Roman"/>
          <w:color w:val="000000"/>
          <w:sz w:val="24"/>
          <w:szCs w:val="24"/>
          <w:shd w:val="clear" w:color="auto" w:fill="FFFFFF"/>
        </w:rPr>
      </w:pPr>
    </w:p>
    <w:p w:rsidR="00744F8D" w:rsidRPr="00865C67" w:rsidRDefault="00865C67" w:rsidP="00711B1A">
      <w:pPr>
        <w:pStyle w:val="HTMLPreformatted"/>
        <w:shd w:val="clear" w:color="auto" w:fill="FFFFFF"/>
        <w:spacing w:line="254" w:lineRule="atLeast"/>
        <w:rPr>
          <w:rStyle w:val="featur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090B4A">
        <w:rPr>
          <w:rFonts w:ascii="Times New Roman" w:hAnsi="Times New Roman" w:cs="Times New Roman"/>
          <w:color w:val="000000"/>
          <w:sz w:val="24"/>
          <w:szCs w:val="24"/>
          <w:shd w:val="clear" w:color="auto" w:fill="FFFFFF"/>
        </w:rPr>
        <w:t>Q55</w:t>
      </w:r>
      <w:r w:rsidR="00711B1A" w:rsidRPr="003B0CD2">
        <w:rPr>
          <w:rFonts w:ascii="Times New Roman" w:hAnsi="Times New Roman" w:cs="Times New Roman"/>
          <w:color w:val="000000"/>
          <w:sz w:val="24"/>
          <w:szCs w:val="24"/>
          <w:shd w:val="clear" w:color="auto" w:fill="FFFFFF"/>
        </w:rPr>
        <w:t xml:space="preserve"> </w:t>
      </w:r>
      <w:r w:rsidR="00090B4A">
        <w:rPr>
          <w:rFonts w:ascii="Times New Roman" w:hAnsi="Times New Roman" w:cs="Times New Roman"/>
          <w:color w:val="000000"/>
          <w:sz w:val="24"/>
          <w:szCs w:val="24"/>
          <w:shd w:val="clear" w:color="auto" w:fill="FFFFFF"/>
        </w:rPr>
        <w:t>is the center of the loop D</w:t>
      </w:r>
      <w:r w:rsidR="00090B4A" w:rsidRPr="003B0CD2">
        <w:rPr>
          <w:rFonts w:ascii="Times New Roman" w:hAnsi="Times New Roman" w:cs="Times New Roman"/>
          <w:color w:val="000000"/>
          <w:sz w:val="24"/>
          <w:szCs w:val="24"/>
          <w:shd w:val="clear" w:color="auto" w:fill="FFFFFF"/>
        </w:rPr>
        <w:t xml:space="preserve"> binding</w:t>
      </w:r>
      <w:r w:rsidR="00090B4A">
        <w:rPr>
          <w:rFonts w:ascii="Times New Roman" w:hAnsi="Times New Roman" w:cs="Times New Roman"/>
          <w:color w:val="000000"/>
          <w:sz w:val="24"/>
          <w:szCs w:val="24"/>
          <w:shd w:val="clear" w:color="auto" w:fill="FFFFFF"/>
        </w:rPr>
        <w:t xml:space="preserve"> site of the alpha subunit.  </w:t>
      </w:r>
      <w:r w:rsidR="003B0CD2">
        <w:rPr>
          <w:rFonts w:ascii="Times New Roman" w:hAnsi="Times New Roman" w:cs="Times New Roman"/>
          <w:color w:val="000000"/>
          <w:sz w:val="24"/>
          <w:szCs w:val="24"/>
          <w:shd w:val="clear" w:color="auto" w:fill="FFFFFF"/>
        </w:rPr>
        <w:t xml:space="preserve">In </w:t>
      </w:r>
      <w:r w:rsidR="003B0CD2" w:rsidRPr="00090B4A">
        <w:rPr>
          <w:rFonts w:ascii="Times New Roman" w:hAnsi="Times New Roman" w:cs="Times New Roman"/>
          <w:i/>
          <w:color w:val="000000"/>
          <w:sz w:val="24"/>
          <w:szCs w:val="24"/>
          <w:shd w:val="clear" w:color="auto" w:fill="FFFFFF"/>
        </w:rPr>
        <w:t>Apis</w:t>
      </w:r>
      <w:r w:rsidR="00090B4A">
        <w:rPr>
          <w:rFonts w:ascii="Times New Roman" w:hAnsi="Times New Roman" w:cs="Times New Roman"/>
          <w:i/>
          <w:color w:val="000000"/>
          <w:sz w:val="24"/>
          <w:szCs w:val="24"/>
          <w:shd w:val="clear" w:color="auto" w:fill="FFFFFF"/>
        </w:rPr>
        <w:t xml:space="preserve"> m</w:t>
      </w:r>
      <w:r w:rsidR="00711B1A" w:rsidRPr="00090B4A">
        <w:rPr>
          <w:rFonts w:ascii="Times New Roman" w:hAnsi="Times New Roman" w:cs="Times New Roman"/>
          <w:i/>
          <w:color w:val="000000"/>
          <w:sz w:val="24"/>
          <w:szCs w:val="24"/>
          <w:shd w:val="clear" w:color="auto" w:fill="FFFFFF"/>
        </w:rPr>
        <w:t>ellifera</w:t>
      </w:r>
      <w:r w:rsidR="00711B1A" w:rsidRPr="003B0CD2">
        <w:rPr>
          <w:rFonts w:ascii="Times New Roman" w:hAnsi="Times New Roman" w:cs="Times New Roman"/>
          <w:color w:val="000000"/>
          <w:sz w:val="24"/>
          <w:szCs w:val="24"/>
          <w:shd w:val="clear" w:color="auto" w:fill="FFFFFF"/>
        </w:rPr>
        <w:t xml:space="preserve"> a7 sub</w:t>
      </w:r>
      <w:r w:rsidR="00FF050C">
        <w:rPr>
          <w:rFonts w:ascii="Times New Roman" w:hAnsi="Times New Roman" w:cs="Times New Roman"/>
          <w:color w:val="000000"/>
          <w:sz w:val="24"/>
          <w:szCs w:val="24"/>
          <w:shd w:val="clear" w:color="auto" w:fill="FFFFFF"/>
        </w:rPr>
        <w:t>unit the loop D</w:t>
      </w:r>
      <w:r>
        <w:rPr>
          <w:rFonts w:ascii="Times New Roman" w:hAnsi="Times New Roman" w:cs="Times New Roman"/>
          <w:color w:val="000000"/>
          <w:sz w:val="24"/>
          <w:szCs w:val="24"/>
          <w:shd w:val="clear" w:color="auto" w:fill="FFFFFF"/>
        </w:rPr>
        <w:t xml:space="preserve"> binding site is comprised of the residues; </w:t>
      </w:r>
      <w:r w:rsidR="00711B1A" w:rsidRPr="003B0CD2">
        <w:rPr>
          <w:rStyle w:val="feature"/>
          <w:rFonts w:ascii="Times New Roman" w:hAnsi="Times New Roman" w:cs="Times New Roman"/>
          <w:color w:val="000000"/>
          <w:sz w:val="24"/>
          <w:szCs w:val="24"/>
        </w:rPr>
        <w:t>TNLWL</w:t>
      </w:r>
      <w:r w:rsidR="00711B1A" w:rsidRPr="00090B4A">
        <w:rPr>
          <w:rStyle w:val="feature"/>
          <w:rFonts w:ascii="Times New Roman" w:hAnsi="Times New Roman" w:cs="Times New Roman"/>
          <w:sz w:val="24"/>
          <w:szCs w:val="24"/>
        </w:rPr>
        <w:t>K</w:t>
      </w:r>
      <w:r w:rsidR="00711B1A" w:rsidRPr="003B0CD2">
        <w:rPr>
          <w:rStyle w:val="feature"/>
          <w:rFonts w:ascii="Times New Roman" w:hAnsi="Times New Roman" w:cs="Times New Roman"/>
          <w:color w:val="000000"/>
          <w:sz w:val="24"/>
          <w:szCs w:val="24"/>
        </w:rPr>
        <w:t>LEWN</w:t>
      </w:r>
      <w:r w:rsidR="003B0CD2">
        <w:rPr>
          <w:rStyle w:val="feature"/>
          <w:rFonts w:ascii="Times New Roman" w:hAnsi="Times New Roman" w:cs="Times New Roman"/>
          <w:color w:val="000000"/>
          <w:sz w:val="24"/>
          <w:szCs w:val="24"/>
        </w:rPr>
        <w:t>D, K77 is the center of this binding site and corre</w:t>
      </w:r>
      <w:r w:rsidR="00090B4A">
        <w:rPr>
          <w:rStyle w:val="feature"/>
          <w:rFonts w:ascii="Times New Roman" w:hAnsi="Times New Roman" w:cs="Times New Roman"/>
          <w:color w:val="000000"/>
          <w:sz w:val="24"/>
          <w:szCs w:val="24"/>
        </w:rPr>
        <w:t>sponds to Q79 in the chicken a7</w:t>
      </w:r>
      <w:r w:rsidR="00A06C10">
        <w:rPr>
          <w:rStyle w:val="feature"/>
          <w:rFonts w:ascii="Times New Roman" w:hAnsi="Times New Roman" w:cs="Times New Roman"/>
          <w:color w:val="000000"/>
          <w:sz w:val="24"/>
          <w:szCs w:val="24"/>
        </w:rPr>
        <w:t xml:space="preserve"> subunit</w:t>
      </w:r>
      <w:r w:rsidR="00090B4A">
        <w:rPr>
          <w:rStyle w:val="feature"/>
          <w:rFonts w:ascii="Times New Roman" w:hAnsi="Times New Roman" w:cs="Times New Roman"/>
          <w:color w:val="000000"/>
          <w:sz w:val="24"/>
          <w:szCs w:val="24"/>
        </w:rPr>
        <w:t xml:space="preserve">, and therefore Q55 of </w:t>
      </w:r>
      <w:r w:rsidR="00090B4A" w:rsidRPr="00090B4A">
        <w:rPr>
          <w:rStyle w:val="feature"/>
          <w:rFonts w:ascii="Times New Roman" w:hAnsi="Times New Roman" w:cs="Times New Roman"/>
          <w:i/>
          <w:color w:val="000000"/>
          <w:sz w:val="24"/>
          <w:szCs w:val="24"/>
        </w:rPr>
        <w:t>Lymnaea stargnalis</w:t>
      </w:r>
      <w:r w:rsidR="00A06C10">
        <w:rPr>
          <w:rStyle w:val="feature"/>
          <w:rFonts w:ascii="Times New Roman" w:hAnsi="Times New Roman" w:cs="Times New Roman"/>
          <w:color w:val="000000"/>
          <w:sz w:val="24"/>
          <w:szCs w:val="24"/>
        </w:rPr>
        <w:t>. In insects this residue is normally basic,</w:t>
      </w:r>
      <w:r w:rsidR="003B0CD2">
        <w:rPr>
          <w:rStyle w:val="feature"/>
          <w:rFonts w:ascii="Times New Roman" w:hAnsi="Times New Roman" w:cs="Times New Roman"/>
          <w:color w:val="000000"/>
          <w:sz w:val="24"/>
          <w:szCs w:val="24"/>
        </w:rPr>
        <w:t xml:space="preserve"> either Lysine or Ar</w:t>
      </w:r>
      <w:r w:rsidR="00A06C10">
        <w:rPr>
          <w:rStyle w:val="feature"/>
          <w:rFonts w:ascii="Times New Roman" w:hAnsi="Times New Roman" w:cs="Times New Roman"/>
          <w:color w:val="000000"/>
          <w:sz w:val="24"/>
          <w:szCs w:val="24"/>
        </w:rPr>
        <w:t xml:space="preserve">ginine.  </w:t>
      </w:r>
      <w:r w:rsidR="00075CF1">
        <w:rPr>
          <w:rStyle w:val="feature"/>
          <w:rFonts w:ascii="Times New Roman" w:hAnsi="Times New Roman" w:cs="Times New Roman"/>
          <w:color w:val="000000"/>
          <w:sz w:val="24"/>
          <w:szCs w:val="24"/>
        </w:rPr>
        <w:t>I propose that the primary mechanism for the increased affinity of Imidacloprid to the</w:t>
      </w:r>
      <w:r w:rsidR="00504D74">
        <w:rPr>
          <w:rStyle w:val="feature"/>
          <w:rFonts w:ascii="Times New Roman" w:hAnsi="Times New Roman" w:cs="Times New Roman"/>
          <w:color w:val="000000"/>
          <w:sz w:val="24"/>
          <w:szCs w:val="24"/>
        </w:rPr>
        <w:t xml:space="preserve"> honey bee</w:t>
      </w:r>
      <w:r w:rsidR="00075CF1">
        <w:rPr>
          <w:rStyle w:val="feature"/>
          <w:rFonts w:ascii="Times New Roman" w:hAnsi="Times New Roman" w:cs="Times New Roman"/>
          <w:color w:val="000000"/>
          <w:sz w:val="24"/>
          <w:szCs w:val="24"/>
        </w:rPr>
        <w:t xml:space="preserve"> nAChR, as compared to Acetamiprid, is an electrostatic interaction</w:t>
      </w:r>
      <w:r w:rsidR="00504D74">
        <w:rPr>
          <w:rStyle w:val="feature"/>
          <w:rFonts w:ascii="Times New Roman" w:hAnsi="Times New Roman" w:cs="Times New Roman"/>
          <w:color w:val="000000"/>
          <w:sz w:val="24"/>
          <w:szCs w:val="24"/>
        </w:rPr>
        <w:t xml:space="preserve"> that creates hydrogen bonds</w:t>
      </w:r>
      <w:r w:rsidR="00075CF1">
        <w:rPr>
          <w:rStyle w:val="feature"/>
          <w:rFonts w:ascii="Times New Roman" w:hAnsi="Times New Roman" w:cs="Times New Roman"/>
          <w:color w:val="000000"/>
          <w:sz w:val="24"/>
          <w:szCs w:val="24"/>
        </w:rPr>
        <w:t xml:space="preserve"> between the basic residues</w:t>
      </w:r>
      <w:r w:rsidR="00FF050C">
        <w:rPr>
          <w:rStyle w:val="feature"/>
          <w:rFonts w:ascii="Times New Roman" w:hAnsi="Times New Roman" w:cs="Times New Roman"/>
          <w:color w:val="000000"/>
          <w:sz w:val="24"/>
          <w:szCs w:val="24"/>
        </w:rPr>
        <w:t xml:space="preserve"> in loop D</w:t>
      </w:r>
      <w:r w:rsidR="007307A7">
        <w:rPr>
          <w:rStyle w:val="feature"/>
          <w:rFonts w:ascii="Times New Roman" w:hAnsi="Times New Roman" w:cs="Times New Roman"/>
          <w:color w:val="000000"/>
          <w:sz w:val="24"/>
          <w:szCs w:val="24"/>
        </w:rPr>
        <w:t xml:space="preserve"> and the nitro group of Imidacloprid.  </w:t>
      </w:r>
      <w:r w:rsidR="00504D74">
        <w:rPr>
          <w:rStyle w:val="feature"/>
          <w:rFonts w:ascii="Times New Roman" w:hAnsi="Times New Roman" w:cs="Times New Roman"/>
          <w:color w:val="000000"/>
          <w:sz w:val="24"/>
          <w:szCs w:val="24"/>
        </w:rPr>
        <w:t>If K77 is substituted for a less-basic residue</w:t>
      </w:r>
      <w:r w:rsidR="00BD1EEB">
        <w:rPr>
          <w:rStyle w:val="feature"/>
          <w:rFonts w:ascii="Times New Roman" w:hAnsi="Times New Roman" w:cs="Times New Roman"/>
          <w:color w:val="000000"/>
          <w:sz w:val="24"/>
          <w:szCs w:val="24"/>
        </w:rPr>
        <w:t>; the result should decrease the affinity of</w:t>
      </w:r>
      <w:r w:rsidR="00504D74">
        <w:rPr>
          <w:rStyle w:val="feature"/>
          <w:rFonts w:ascii="Times New Roman" w:hAnsi="Times New Roman" w:cs="Times New Roman"/>
          <w:color w:val="000000"/>
          <w:sz w:val="24"/>
          <w:szCs w:val="24"/>
        </w:rPr>
        <w:t xml:space="preserve"> the receptor</w:t>
      </w:r>
      <w:r w:rsidR="00BD1EEB">
        <w:rPr>
          <w:rStyle w:val="feature"/>
          <w:rFonts w:ascii="Times New Roman" w:hAnsi="Times New Roman" w:cs="Times New Roman"/>
          <w:color w:val="000000"/>
          <w:sz w:val="24"/>
          <w:szCs w:val="24"/>
        </w:rPr>
        <w:t xml:space="preserve"> to Imidacloprid, but not affect any other agonist’s potency.</w:t>
      </w:r>
    </w:p>
    <w:p w:rsidR="00711B1A" w:rsidRPr="00BD1EEB" w:rsidRDefault="00711B1A" w:rsidP="00BD1EEB">
      <w:pPr>
        <w:pStyle w:val="HTMLPreformatted"/>
        <w:shd w:val="clear" w:color="auto" w:fill="FFFFFF"/>
        <w:spacing w:line="254" w:lineRule="atLeast"/>
        <w:rPr>
          <w:rFonts w:ascii="Times New Roman" w:hAnsi="Times New Roman" w:cs="Times New Roman"/>
          <w:color w:val="000000"/>
          <w:sz w:val="24"/>
          <w:szCs w:val="24"/>
        </w:rPr>
      </w:pPr>
    </w:p>
    <w:p w:rsidR="00744F8D" w:rsidRPr="00D97EC8" w:rsidRDefault="00C23336" w:rsidP="00744F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w:t>
      </w:r>
      <w:r w:rsidR="00090B4A">
        <w:rPr>
          <w:rFonts w:ascii="Times New Roman" w:hAnsi="Times New Roman" w:cs="Times New Roman"/>
          <w:sz w:val="24"/>
          <w:szCs w:val="24"/>
        </w:rPr>
        <w:t>ChR A</w:t>
      </w:r>
      <w:r>
        <w:rPr>
          <w:rFonts w:ascii="Times New Roman" w:hAnsi="Times New Roman" w:cs="Times New Roman"/>
          <w:sz w:val="24"/>
          <w:szCs w:val="24"/>
        </w:rPr>
        <w:t>ffinity</w:t>
      </w:r>
      <w:r w:rsidR="00090B4A">
        <w:rPr>
          <w:rFonts w:ascii="Times New Roman" w:hAnsi="Times New Roman" w:cs="Times New Roman"/>
          <w:sz w:val="24"/>
          <w:szCs w:val="24"/>
        </w:rPr>
        <w:t xml:space="preserve"> Due to Alpha Subunit Loop C</w:t>
      </w:r>
    </w:p>
    <w:p w:rsidR="00744F8D" w:rsidRPr="00D97EC8" w:rsidRDefault="00744F8D" w:rsidP="00744F8D">
      <w:pPr>
        <w:ind w:firstLine="360"/>
        <w:rPr>
          <w:rFonts w:ascii="Times New Roman" w:hAnsi="Times New Roman" w:cs="Times New Roman"/>
          <w:sz w:val="24"/>
          <w:szCs w:val="24"/>
        </w:rPr>
      </w:pPr>
      <w:r w:rsidRPr="00D97EC8">
        <w:rPr>
          <w:rFonts w:ascii="Times New Roman" w:hAnsi="Times New Roman" w:cs="Times New Roman"/>
          <w:sz w:val="24"/>
          <w:szCs w:val="24"/>
        </w:rPr>
        <w:t xml:space="preserve">In their experiment, </w:t>
      </w:r>
      <w:r w:rsidRPr="00D97EC8">
        <w:rPr>
          <w:rFonts w:ascii="Times New Roman" w:hAnsi="Times New Roman" w:cs="Times New Roman"/>
          <w:color w:val="000000"/>
          <w:sz w:val="24"/>
          <w:szCs w:val="24"/>
          <w:shd w:val="clear" w:color="auto" w:fill="F1F4F5"/>
        </w:rPr>
        <w:t>"Exploring the Pharmacological Properties of Insect Nicotinic Acetylcholine Receptors.", Thany et al</w:t>
      </w:r>
      <w:r w:rsidR="00134E64">
        <w:rPr>
          <w:rFonts w:ascii="Times New Roman" w:hAnsi="Times New Roman" w:cs="Times New Roman"/>
          <w:color w:val="000000"/>
          <w:sz w:val="24"/>
          <w:szCs w:val="24"/>
          <w:shd w:val="clear" w:color="auto" w:fill="F1F4F5"/>
        </w:rPr>
        <w:t>.</w:t>
      </w:r>
      <w:r w:rsidRPr="00D97EC8">
        <w:rPr>
          <w:rFonts w:ascii="Times New Roman" w:hAnsi="Times New Roman" w:cs="Times New Roman"/>
          <w:color w:val="000000"/>
          <w:sz w:val="24"/>
          <w:szCs w:val="24"/>
          <w:shd w:val="clear" w:color="auto" w:fill="F1F4F5"/>
        </w:rPr>
        <w:t xml:space="preserve"> isolated </w:t>
      </w:r>
      <w:r w:rsidRPr="00D97EC8">
        <w:rPr>
          <w:rFonts w:ascii="Times New Roman" w:hAnsi="Times New Roman" w:cs="Times New Roman"/>
          <w:sz w:val="24"/>
          <w:szCs w:val="24"/>
        </w:rPr>
        <w:t xml:space="preserve">nAChR alpha subunits from 6 species of insects and then paired with well understood </w:t>
      </w:r>
      <w:r w:rsidR="00134E64">
        <w:rPr>
          <w:rFonts w:ascii="Times New Roman" w:hAnsi="Times New Roman" w:cs="Times New Roman"/>
          <w:sz w:val="24"/>
          <w:szCs w:val="24"/>
        </w:rPr>
        <w:t>Chicken B2</w:t>
      </w:r>
      <w:r w:rsidRPr="00D97EC8">
        <w:rPr>
          <w:rFonts w:ascii="Times New Roman" w:hAnsi="Times New Roman" w:cs="Times New Roman"/>
          <w:sz w:val="24"/>
          <w:szCs w:val="24"/>
        </w:rPr>
        <w:t xml:space="preserve"> subunits</w:t>
      </w:r>
      <w:r w:rsidR="005B6FF5" w:rsidRPr="00D97EC8">
        <w:rPr>
          <w:rFonts w:ascii="Times New Roman" w:hAnsi="Times New Roman" w:cs="Times New Roman"/>
          <w:sz w:val="24"/>
          <w:szCs w:val="24"/>
        </w:rPr>
        <w:t xml:space="preserve"> and vice-versa</w:t>
      </w:r>
      <w:r w:rsidR="003C306F" w:rsidRPr="00D97EC8">
        <w:rPr>
          <w:rFonts w:ascii="Times New Roman" w:hAnsi="Times New Roman" w:cs="Times New Roman"/>
          <w:sz w:val="24"/>
          <w:szCs w:val="24"/>
        </w:rPr>
        <w:t xml:space="preserve"> (2007).</w:t>
      </w:r>
      <w:r w:rsidR="005B6FF5" w:rsidRPr="00D97EC8">
        <w:rPr>
          <w:rFonts w:ascii="Times New Roman" w:hAnsi="Times New Roman" w:cs="Times New Roman"/>
          <w:sz w:val="24"/>
          <w:szCs w:val="24"/>
        </w:rPr>
        <w:t xml:space="preserve">  </w:t>
      </w:r>
      <w:r w:rsidR="004142FA">
        <w:rPr>
          <w:rFonts w:ascii="Times New Roman" w:hAnsi="Times New Roman" w:cs="Times New Roman"/>
          <w:sz w:val="24"/>
          <w:szCs w:val="24"/>
        </w:rPr>
        <w:t>The chicken receptors were not affected</w:t>
      </w:r>
      <w:r w:rsidR="00134E64">
        <w:rPr>
          <w:rFonts w:ascii="Times New Roman" w:hAnsi="Times New Roman" w:cs="Times New Roman"/>
          <w:sz w:val="24"/>
          <w:szCs w:val="24"/>
        </w:rPr>
        <w:t xml:space="preserve"> by the agonist as Neonicotinoids are specific to insect nAChR’s.  In this way the hybrid receptors allowed Thany et al. to focus solely on the affect of the agonist on the alpha subunit. </w:t>
      </w:r>
      <w:r w:rsidR="005B6FF5" w:rsidRPr="00D97EC8">
        <w:rPr>
          <w:rFonts w:ascii="Times New Roman" w:hAnsi="Times New Roman" w:cs="Times New Roman"/>
          <w:sz w:val="24"/>
          <w:szCs w:val="24"/>
        </w:rPr>
        <w:t>Insect-alpha</w:t>
      </w:r>
      <w:r w:rsidRPr="00D97EC8">
        <w:rPr>
          <w:rFonts w:ascii="Times New Roman" w:hAnsi="Times New Roman" w:cs="Times New Roman"/>
          <w:sz w:val="24"/>
          <w:szCs w:val="24"/>
        </w:rPr>
        <w:t xml:space="preserve"> hybrid receptors were then exposed to various r</w:t>
      </w:r>
      <w:r w:rsidR="004142FA">
        <w:rPr>
          <w:rFonts w:ascii="Times New Roman" w:hAnsi="Times New Roman" w:cs="Times New Roman"/>
          <w:sz w:val="24"/>
          <w:szCs w:val="24"/>
        </w:rPr>
        <w:t>eceptor agonists</w:t>
      </w:r>
      <w:r w:rsidRPr="00D97EC8">
        <w:rPr>
          <w:rFonts w:ascii="Times New Roman" w:hAnsi="Times New Roman" w:cs="Times New Roman"/>
          <w:sz w:val="24"/>
          <w:szCs w:val="24"/>
        </w:rPr>
        <w:t xml:space="preserve"> to see which parts of the alpha subunit’s protein </w:t>
      </w:r>
      <w:r w:rsidR="005B6FF5" w:rsidRPr="00D97EC8">
        <w:rPr>
          <w:rFonts w:ascii="Times New Roman" w:hAnsi="Times New Roman" w:cs="Times New Roman"/>
          <w:sz w:val="24"/>
          <w:szCs w:val="24"/>
        </w:rPr>
        <w:t>determines molecular attraction</w:t>
      </w:r>
      <w:r w:rsidR="003C306F" w:rsidRPr="00D97EC8">
        <w:rPr>
          <w:rFonts w:ascii="Times New Roman" w:hAnsi="Times New Roman" w:cs="Times New Roman"/>
          <w:sz w:val="24"/>
          <w:szCs w:val="24"/>
        </w:rPr>
        <w:t>.</w:t>
      </w:r>
      <w:r w:rsidR="00C273BC">
        <w:rPr>
          <w:rFonts w:ascii="Times New Roman" w:hAnsi="Times New Roman" w:cs="Times New Roman"/>
          <w:sz w:val="24"/>
          <w:szCs w:val="24"/>
        </w:rPr>
        <w:t xml:space="preserve">  The importance of the YXCC motif of the loop C binding site</w:t>
      </w:r>
      <w:r w:rsidR="00C23336">
        <w:rPr>
          <w:rFonts w:ascii="Times New Roman" w:hAnsi="Times New Roman" w:cs="Times New Roman"/>
          <w:sz w:val="24"/>
          <w:szCs w:val="24"/>
        </w:rPr>
        <w:t xml:space="preserve"> in the alpha subunit</w:t>
      </w:r>
      <w:r w:rsidR="00C273BC">
        <w:rPr>
          <w:rFonts w:ascii="Times New Roman" w:hAnsi="Times New Roman" w:cs="Times New Roman"/>
          <w:sz w:val="24"/>
          <w:szCs w:val="24"/>
        </w:rPr>
        <w:t xml:space="preserve"> has been studied in many organisms as it relates to acetylcholine affinity, but not as extensively for neonicotinoids.  Thany et al. studied its effect on Imidacloprid resistance in Drosophila</w:t>
      </w:r>
      <w:r w:rsidR="00E56831">
        <w:rPr>
          <w:rFonts w:ascii="Times New Roman" w:hAnsi="Times New Roman" w:cs="Times New Roman"/>
          <w:sz w:val="24"/>
          <w:szCs w:val="24"/>
        </w:rPr>
        <w:t xml:space="preserve"> alpha 2 subunits</w:t>
      </w:r>
      <w:r w:rsidR="00C273BC">
        <w:rPr>
          <w:rFonts w:ascii="Times New Roman" w:hAnsi="Times New Roman" w:cs="Times New Roman"/>
          <w:sz w:val="24"/>
          <w:szCs w:val="24"/>
        </w:rPr>
        <w:t xml:space="preserve"> by specifically looking at the mutation P242E.  They found that in a majority of vertebrate subunits this residue is acidic, the mutation to glutamic acid resulted in a noticeable decrease in </w:t>
      </w:r>
      <w:r w:rsidR="00FF050C">
        <w:rPr>
          <w:rFonts w:ascii="Times New Roman" w:hAnsi="Times New Roman" w:cs="Times New Roman"/>
          <w:sz w:val="24"/>
          <w:szCs w:val="24"/>
        </w:rPr>
        <w:t xml:space="preserve">Imidacloprid affinity for the receptor.  Loop C bonds to the </w:t>
      </w:r>
      <w:r w:rsidR="00E56831">
        <w:rPr>
          <w:rFonts w:ascii="Times New Roman" w:hAnsi="Times New Roman" w:cs="Times New Roman"/>
          <w:sz w:val="24"/>
          <w:szCs w:val="24"/>
        </w:rPr>
        <w:t>acidic i</w:t>
      </w:r>
      <w:r w:rsidR="00FF050C">
        <w:rPr>
          <w:rFonts w:ascii="Times New Roman" w:hAnsi="Times New Roman" w:cs="Times New Roman"/>
          <w:sz w:val="24"/>
          <w:szCs w:val="24"/>
        </w:rPr>
        <w:t>midazoline ring of Imidacloprid (Figure 3)</w:t>
      </w:r>
      <w:r w:rsidR="00C23336">
        <w:rPr>
          <w:rFonts w:ascii="Times New Roman" w:hAnsi="Times New Roman" w:cs="Times New Roman"/>
          <w:sz w:val="24"/>
          <w:szCs w:val="24"/>
        </w:rPr>
        <w:t>, this acid to acid interaction might explain the decreased binding potential found.</w:t>
      </w:r>
      <w:r w:rsidR="00FF050C">
        <w:rPr>
          <w:rFonts w:ascii="Times New Roman" w:hAnsi="Times New Roman" w:cs="Times New Roman"/>
          <w:sz w:val="24"/>
          <w:szCs w:val="24"/>
        </w:rPr>
        <w:t xml:space="preserve">  </w:t>
      </w:r>
      <w:r w:rsidR="00C23336">
        <w:rPr>
          <w:rFonts w:ascii="Times New Roman" w:hAnsi="Times New Roman" w:cs="Times New Roman"/>
          <w:sz w:val="24"/>
          <w:szCs w:val="24"/>
        </w:rPr>
        <w:t xml:space="preserve">Mutations that introduce more acidic residues in the YXCC motif should not affect the binding affinity of agonists </w:t>
      </w:r>
      <w:r w:rsidR="00FF050C">
        <w:rPr>
          <w:rFonts w:ascii="Times New Roman" w:hAnsi="Times New Roman" w:cs="Times New Roman"/>
          <w:sz w:val="24"/>
          <w:szCs w:val="24"/>
        </w:rPr>
        <w:t xml:space="preserve">other </w:t>
      </w:r>
      <w:r w:rsidR="00C23336">
        <w:rPr>
          <w:rFonts w:ascii="Times New Roman" w:hAnsi="Times New Roman" w:cs="Times New Roman"/>
          <w:sz w:val="24"/>
          <w:szCs w:val="24"/>
        </w:rPr>
        <w:t>than Imidacloprid as they</w:t>
      </w:r>
      <w:r w:rsidR="00FF050C">
        <w:rPr>
          <w:rFonts w:ascii="Times New Roman" w:hAnsi="Times New Roman" w:cs="Times New Roman"/>
          <w:sz w:val="24"/>
          <w:szCs w:val="24"/>
        </w:rPr>
        <w:t xml:space="preserve"> do </w:t>
      </w:r>
      <w:r w:rsidR="00E56831">
        <w:rPr>
          <w:rFonts w:ascii="Times New Roman" w:hAnsi="Times New Roman" w:cs="Times New Roman"/>
          <w:sz w:val="24"/>
          <w:szCs w:val="24"/>
        </w:rPr>
        <w:t>not contain the</w:t>
      </w:r>
      <w:r w:rsidR="00C23336">
        <w:rPr>
          <w:rFonts w:ascii="Times New Roman" w:hAnsi="Times New Roman" w:cs="Times New Roman"/>
          <w:sz w:val="24"/>
          <w:szCs w:val="24"/>
        </w:rPr>
        <w:t xml:space="preserve"> acidic</w:t>
      </w:r>
      <w:r w:rsidR="00E56831">
        <w:rPr>
          <w:rFonts w:ascii="Times New Roman" w:hAnsi="Times New Roman" w:cs="Times New Roman"/>
          <w:sz w:val="24"/>
          <w:szCs w:val="24"/>
        </w:rPr>
        <w:t xml:space="preserve"> rin</w:t>
      </w:r>
      <w:r w:rsidR="00C23336">
        <w:rPr>
          <w:rFonts w:ascii="Times New Roman" w:hAnsi="Times New Roman" w:cs="Times New Roman"/>
          <w:sz w:val="24"/>
          <w:szCs w:val="24"/>
        </w:rPr>
        <w:t>g.</w:t>
      </w:r>
    </w:p>
    <w:p w:rsidR="003358EB" w:rsidRPr="00D97EC8" w:rsidRDefault="00BD1EEB" w:rsidP="00744F8D">
      <w:pPr>
        <w:tabs>
          <w:tab w:val="left" w:pos="6312"/>
        </w:tabs>
        <w:ind w:firstLine="360"/>
        <w:rPr>
          <w:rFonts w:ascii="Times New Roman" w:hAnsi="Times New Roman" w:cs="Times New Roman"/>
          <w:sz w:val="24"/>
          <w:szCs w:val="24"/>
        </w:rPr>
      </w:pPr>
      <w:r w:rsidRPr="00865C67">
        <w:rPr>
          <w:rFonts w:ascii="Times New Roman" w:hAnsi="Times New Roman" w:cs="Times New Roman"/>
          <w:noProof/>
          <w:color w:val="000000"/>
          <w:sz w:val="24"/>
          <w:szCs w:val="24"/>
        </w:rPr>
        <w:lastRenderedPageBreak/>
        <mc:AlternateContent>
          <mc:Choice Requires="wps">
            <w:drawing>
              <wp:anchor distT="45720" distB="45720" distL="114300" distR="114300" simplePos="0" relativeHeight="251675648" behindDoc="0" locked="0" layoutInCell="1" allowOverlap="1" wp14:anchorId="1BBF215B" wp14:editId="0E6F6226">
                <wp:simplePos x="0" y="0"/>
                <wp:positionH relativeFrom="column">
                  <wp:posOffset>3037840</wp:posOffset>
                </wp:positionH>
                <wp:positionV relativeFrom="paragraph">
                  <wp:posOffset>4445</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chemeClr val="bg1"/>
                          </a:solidFill>
                          <a:miter lim="800000"/>
                          <a:headEnd/>
                          <a:tailEnd/>
                        </a:ln>
                      </wps:spPr>
                      <wps:txbx>
                        <w:txbxContent>
                          <w:p w:rsidR="00435F05" w:rsidRDefault="00435F05" w:rsidP="00865C67">
                            <w:pPr>
                              <w:rPr>
                                <w:rFonts w:ascii="Times New Roman" w:hAnsi="Times New Roman" w:cs="Times New Roman"/>
                                <w:sz w:val="24"/>
                                <w:szCs w:val="24"/>
                              </w:rPr>
                            </w:pPr>
                            <w:r w:rsidRPr="00865C67">
                              <w:rPr>
                                <w:rFonts w:ascii="Times New Roman" w:hAnsi="Times New Roman" w:cs="Times New Roman"/>
                                <w:b/>
                                <w:sz w:val="24"/>
                                <w:szCs w:val="24"/>
                              </w:rPr>
                              <w:t xml:space="preserve">Figure 3.  </w:t>
                            </w:r>
                            <w:r w:rsidRPr="00865C67">
                              <w:rPr>
                                <w:rFonts w:ascii="Times New Roman" w:hAnsi="Times New Roman" w:cs="Times New Roman"/>
                                <w:sz w:val="24"/>
                                <w:szCs w:val="24"/>
                              </w:rPr>
                              <w:t>The structure of the agonist binding domain of AChBP from the mollusk Lymnaea stagnalis</w:t>
                            </w:r>
                            <w:r w:rsidR="00C23336">
                              <w:rPr>
                                <w:rFonts w:ascii="Times New Roman" w:hAnsi="Times New Roman" w:cs="Times New Roman"/>
                                <w:sz w:val="24"/>
                                <w:szCs w:val="24"/>
                              </w:rPr>
                              <w:t xml:space="preserve"> when bound to</w:t>
                            </w:r>
                            <w:r>
                              <w:rPr>
                                <w:rFonts w:ascii="Times New Roman" w:hAnsi="Times New Roman" w:cs="Times New Roman"/>
                                <w:sz w:val="24"/>
                                <w:szCs w:val="24"/>
                              </w:rPr>
                              <w:t xml:space="preserve">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Y192 and Y185</w:t>
                            </w:r>
                            <w:r w:rsidR="00E56831">
                              <w:rPr>
                                <w:rFonts w:ascii="Times New Roman" w:hAnsi="Times New Roman" w:cs="Times New Roman"/>
                                <w:color w:val="000000"/>
                                <w:sz w:val="24"/>
                                <w:szCs w:val="24"/>
                                <w:shd w:val="clear" w:color="auto" w:fill="FFFFFF"/>
                              </w:rPr>
                              <w:t xml:space="preserve"> (of YXCC)</w:t>
                            </w:r>
                            <w:r>
                              <w:rPr>
                                <w:rFonts w:ascii="Times New Roman" w:hAnsi="Times New Roman" w:cs="Times New Roman"/>
                                <w:color w:val="000000"/>
                                <w:sz w:val="24"/>
                                <w:szCs w:val="24"/>
                                <w:shd w:val="clear" w:color="auto" w:fill="FFFFFF"/>
                              </w:rPr>
                              <w:t xml:space="preserve"> are major structures in determining loop C binding site, W143 is a catalyst for Loop B binding.</w:t>
                            </w:r>
                          </w:p>
                          <w:p w:rsidR="00435F05" w:rsidRDefault="00435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215B" id="_x0000_s1028" type="#_x0000_t202" style="position:absolute;left:0;text-align:left;margin-left:239.2pt;margin-top:.35pt;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" strokecolor="white [3212]">
                <v:textbox>
                  <w:txbxContent>
                    <w:p w:rsidR="00435F05" w:rsidRDefault="00435F05" w:rsidP="00865C67">
                      <w:pPr>
                        <w:rPr>
                          <w:rFonts w:ascii="Times New Roman" w:hAnsi="Times New Roman" w:cs="Times New Roman"/>
                          <w:sz w:val="24"/>
                          <w:szCs w:val="24"/>
                        </w:rPr>
                      </w:pPr>
                      <w:r w:rsidRPr="00865C67">
                        <w:rPr>
                          <w:rFonts w:ascii="Times New Roman" w:hAnsi="Times New Roman" w:cs="Times New Roman"/>
                          <w:b/>
                          <w:sz w:val="24"/>
                          <w:szCs w:val="24"/>
                        </w:rPr>
                        <w:t xml:space="preserve">Figure 3.  </w:t>
                      </w:r>
                      <w:r w:rsidRPr="00865C67">
                        <w:rPr>
                          <w:rFonts w:ascii="Times New Roman" w:hAnsi="Times New Roman" w:cs="Times New Roman"/>
                          <w:sz w:val="24"/>
                          <w:szCs w:val="24"/>
                        </w:rPr>
                        <w:t xml:space="preserve">The structure of the agonist binding domain of </w:t>
                      </w:r>
                      <w:proofErr w:type="spellStart"/>
                      <w:r w:rsidRPr="00865C67">
                        <w:rPr>
                          <w:rFonts w:ascii="Times New Roman" w:hAnsi="Times New Roman" w:cs="Times New Roman"/>
                          <w:sz w:val="24"/>
                          <w:szCs w:val="24"/>
                        </w:rPr>
                        <w:t>AChBP</w:t>
                      </w:r>
                      <w:proofErr w:type="spellEnd"/>
                      <w:r w:rsidRPr="00865C67">
                        <w:rPr>
                          <w:rFonts w:ascii="Times New Roman" w:hAnsi="Times New Roman" w:cs="Times New Roman"/>
                          <w:sz w:val="24"/>
                          <w:szCs w:val="24"/>
                        </w:rPr>
                        <w:t xml:space="preserve"> from the mollusk </w:t>
                      </w:r>
                      <w:proofErr w:type="spellStart"/>
                      <w:r w:rsidRPr="00865C67">
                        <w:rPr>
                          <w:rFonts w:ascii="Times New Roman" w:hAnsi="Times New Roman" w:cs="Times New Roman"/>
                          <w:sz w:val="24"/>
                          <w:szCs w:val="24"/>
                        </w:rPr>
                        <w:t>Lymnaea</w:t>
                      </w:r>
                      <w:proofErr w:type="spellEnd"/>
                      <w:r w:rsidRPr="00865C67">
                        <w:rPr>
                          <w:rFonts w:ascii="Times New Roman" w:hAnsi="Times New Roman" w:cs="Times New Roman"/>
                          <w:sz w:val="24"/>
                          <w:szCs w:val="24"/>
                        </w:rPr>
                        <w:t xml:space="preserve"> </w:t>
                      </w:r>
                      <w:proofErr w:type="spellStart"/>
                      <w:r w:rsidRPr="00865C67">
                        <w:rPr>
                          <w:rFonts w:ascii="Times New Roman" w:hAnsi="Times New Roman" w:cs="Times New Roman"/>
                          <w:sz w:val="24"/>
                          <w:szCs w:val="24"/>
                        </w:rPr>
                        <w:t>stagnalis</w:t>
                      </w:r>
                      <w:proofErr w:type="spellEnd"/>
                      <w:r w:rsidR="00C23336">
                        <w:rPr>
                          <w:rFonts w:ascii="Times New Roman" w:hAnsi="Times New Roman" w:cs="Times New Roman"/>
                          <w:sz w:val="24"/>
                          <w:szCs w:val="24"/>
                        </w:rPr>
                        <w:t xml:space="preserve"> when bound to</w:t>
                      </w:r>
                      <w:r>
                        <w:rPr>
                          <w:rFonts w:ascii="Times New Roman" w:hAnsi="Times New Roman" w:cs="Times New Roman"/>
                          <w:sz w:val="24"/>
                          <w:szCs w:val="24"/>
                        </w:rPr>
                        <w:t xml:space="preserve"> </w:t>
                      </w:r>
                      <w:proofErr w:type="spellStart"/>
                      <w:r>
                        <w:rPr>
                          <w:rFonts w:ascii="Times New Roman" w:hAnsi="Times New Roman" w:cs="Times New Roman"/>
                          <w:sz w:val="24"/>
                          <w:szCs w:val="24"/>
                        </w:rPr>
                        <w:t>Imidacloprid</w:t>
                      </w:r>
                      <w:proofErr w:type="spellEnd"/>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Y192 and Y185</w:t>
                      </w:r>
                      <w:r w:rsidR="00E56831">
                        <w:rPr>
                          <w:rFonts w:ascii="Times New Roman" w:hAnsi="Times New Roman" w:cs="Times New Roman"/>
                          <w:color w:val="000000"/>
                          <w:sz w:val="24"/>
                          <w:szCs w:val="24"/>
                          <w:shd w:val="clear" w:color="auto" w:fill="FFFFFF"/>
                        </w:rPr>
                        <w:t xml:space="preserve"> (of YXCC)</w:t>
                      </w:r>
                      <w:r>
                        <w:rPr>
                          <w:rFonts w:ascii="Times New Roman" w:hAnsi="Times New Roman" w:cs="Times New Roman"/>
                          <w:color w:val="000000"/>
                          <w:sz w:val="24"/>
                          <w:szCs w:val="24"/>
                          <w:shd w:val="clear" w:color="auto" w:fill="FFFFFF"/>
                        </w:rPr>
                        <w:t xml:space="preserve"> are major structures in determining loop C binding site, W143 is a catalyst for Loop B binding.</w:t>
                      </w:r>
                    </w:p>
                    <w:p w:rsidR="00435F05" w:rsidRDefault="00435F05"/>
                  </w:txbxContent>
                </v:textbox>
                <w10:wrap type="square"/>
              </v:shape>
            </w:pict>
          </mc:Fallback>
        </mc:AlternateContent>
      </w:r>
      <w:r>
        <w:rPr>
          <w:rFonts w:ascii="Times New Roman" w:hAnsi="Times New Roman" w:cs="Times New Roman"/>
          <w:noProof/>
          <w:color w:val="000000"/>
          <w:sz w:val="24"/>
          <w:szCs w:val="24"/>
        </w:rPr>
        <w:drawing>
          <wp:anchor distT="0" distB="0" distL="114300" distR="114300" simplePos="0" relativeHeight="251677696" behindDoc="0" locked="0" layoutInCell="1" allowOverlap="1" wp14:anchorId="62150739" wp14:editId="5BC2F11E">
            <wp:simplePos x="0" y="0"/>
            <wp:positionH relativeFrom="margin">
              <wp:align>left</wp:align>
            </wp:positionH>
            <wp:positionV relativeFrom="paragraph">
              <wp:posOffset>164</wp:posOffset>
            </wp:positionV>
            <wp:extent cx="2683510" cy="1719580"/>
            <wp:effectExtent l="0" t="0" r="254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 (24).png"/>
                    <pic:cNvPicPr/>
                  </pic:nvPicPr>
                  <pic:blipFill rotWithShape="1">
                    <a:blip r:embed="rId10">
                      <a:extLst>
                        <a:ext uri="{28A0092B-C50C-407E-A947-70E740481C1C}">
                          <a14:useLocalDpi xmlns:a14="http://schemas.microsoft.com/office/drawing/2010/main" val="0"/>
                        </a:ext>
                      </a:extLst>
                    </a:blip>
                    <a:srcRect l="34492" t="30879" r="34405" b="33679"/>
                    <a:stretch/>
                  </pic:blipFill>
                  <pic:spPr bwMode="auto">
                    <a:xfrm>
                      <a:off x="0" y="0"/>
                      <a:ext cx="2683510" cy="171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5"/>
        <w:tblW w:w="10345" w:type="dxa"/>
        <w:tblLayout w:type="fixed"/>
        <w:tblLook w:val="04A0" w:firstRow="1" w:lastRow="0" w:firstColumn="1" w:lastColumn="0" w:noHBand="0" w:noVBand="1"/>
      </w:tblPr>
      <w:tblGrid>
        <w:gridCol w:w="3145"/>
        <w:gridCol w:w="2430"/>
        <w:gridCol w:w="2250"/>
        <w:gridCol w:w="2520"/>
      </w:tblGrid>
      <w:tr w:rsidR="005C5C90" w:rsidTr="00E568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tcPr>
          <w:p w:rsidR="005C5C90" w:rsidRDefault="00E56831" w:rsidP="00E56831">
            <w:pPr>
              <w:jc w:val="left"/>
              <w:rPr>
                <w:rFonts w:ascii="Times New Roman" w:hAnsi="Times New Roman" w:cs="Times New Roman"/>
                <w:sz w:val="24"/>
                <w:szCs w:val="24"/>
              </w:rPr>
            </w:pPr>
            <w:r>
              <w:rPr>
                <w:rFonts w:ascii="Times New Roman" w:hAnsi="Times New Roman" w:cs="Times New Roman"/>
                <w:sz w:val="24"/>
                <w:szCs w:val="24"/>
              </w:rPr>
              <w:t>Table 1</w:t>
            </w:r>
          </w:p>
        </w:tc>
        <w:tc>
          <w:tcPr>
            <w:tcW w:w="2430" w:type="dxa"/>
          </w:tcPr>
          <w:p w:rsidR="005C5C90" w:rsidRDefault="00DD6EC3"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D</w:t>
            </w:r>
          </w:p>
        </w:tc>
        <w:tc>
          <w:tcPr>
            <w:tcW w:w="2250" w:type="dxa"/>
          </w:tcPr>
          <w:p w:rsidR="005C5C90" w:rsidRDefault="005C5C90"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B</w:t>
            </w:r>
          </w:p>
        </w:tc>
        <w:tc>
          <w:tcPr>
            <w:tcW w:w="2520" w:type="dxa"/>
          </w:tcPr>
          <w:p w:rsidR="005C5C90" w:rsidRDefault="005C5C90"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C</w:t>
            </w:r>
          </w:p>
        </w:tc>
      </w:tr>
      <w:tr w:rsidR="005C5C90" w:rsidTr="00E5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Lymnaea stagnalis AChBP</w:t>
            </w:r>
          </w:p>
        </w:tc>
        <w:tc>
          <w:tcPr>
            <w:tcW w:w="243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VVF</w:t>
            </w:r>
            <w:r w:rsidR="00713544">
              <w:rPr>
                <w:rFonts w:ascii="Times New Roman" w:hAnsi="Times New Roman" w:cs="Times New Roman"/>
                <w:sz w:val="24"/>
                <w:szCs w:val="24"/>
              </w:rPr>
              <w:t>WQ</w:t>
            </w:r>
            <w:r w:rsidR="00713544" w:rsidRPr="00E56831">
              <w:rPr>
                <w:rFonts w:ascii="Times New Roman" w:hAnsi="Times New Roman" w:cs="Times New Roman"/>
                <w:color w:val="ED7D31" w:themeColor="accent2"/>
                <w:sz w:val="24"/>
                <w:szCs w:val="24"/>
              </w:rPr>
              <w:t>Q</w:t>
            </w:r>
            <w:r w:rsidR="00713544">
              <w:rPr>
                <w:rFonts w:ascii="Times New Roman" w:hAnsi="Times New Roman" w:cs="Times New Roman"/>
                <w:sz w:val="24"/>
                <w:szCs w:val="24"/>
              </w:rPr>
              <w:t>TTWSD</w:t>
            </w:r>
          </w:p>
        </w:tc>
        <w:tc>
          <w:tcPr>
            <w:tcW w:w="225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IGS</w:t>
            </w:r>
            <w:r w:rsidRPr="005C5C90">
              <w:rPr>
                <w:rFonts w:ascii="Times New Roman" w:hAnsi="Times New Roman" w:cs="Times New Roman"/>
                <w:color w:val="FF0000"/>
                <w:sz w:val="24"/>
                <w:szCs w:val="24"/>
              </w:rPr>
              <w:t>W</w:t>
            </w:r>
            <w:r>
              <w:rPr>
                <w:rFonts w:ascii="Times New Roman" w:hAnsi="Times New Roman" w:cs="Times New Roman"/>
                <w:sz w:val="24"/>
                <w:szCs w:val="24"/>
              </w:rPr>
              <w:t>THHS</w:t>
            </w:r>
          </w:p>
        </w:tc>
        <w:tc>
          <w:tcPr>
            <w:tcW w:w="252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r w:rsidRPr="00E56831">
              <w:rPr>
                <w:rFonts w:ascii="Times New Roman" w:hAnsi="Times New Roman" w:cs="Times New Roman"/>
                <w:color w:val="70AD47" w:themeColor="accent6"/>
                <w:sz w:val="24"/>
                <w:szCs w:val="24"/>
              </w:rPr>
              <w:t>YSCC</w:t>
            </w:r>
            <w:r>
              <w:rPr>
                <w:rFonts w:ascii="Times New Roman" w:hAnsi="Times New Roman" w:cs="Times New Roman"/>
                <w:sz w:val="24"/>
                <w:szCs w:val="24"/>
              </w:rPr>
              <w:t>PEA</w:t>
            </w:r>
            <w:r w:rsidRPr="005C5C90">
              <w:rPr>
                <w:rFonts w:ascii="Times New Roman" w:hAnsi="Times New Roman" w:cs="Times New Roman"/>
                <w:color w:val="FF0000"/>
                <w:sz w:val="24"/>
                <w:szCs w:val="24"/>
              </w:rPr>
              <w:t>Y</w:t>
            </w:r>
          </w:p>
        </w:tc>
      </w:tr>
      <w:tr w:rsidR="005C5C90" w:rsidTr="00E56831">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Gallus Gallus Domesticus a7</w:t>
            </w:r>
          </w:p>
        </w:tc>
        <w:tc>
          <w:tcPr>
            <w:tcW w:w="243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TNIWL</w:t>
            </w:r>
            <w:r w:rsidRPr="00E56831">
              <w:rPr>
                <w:rFonts w:ascii="Times New Roman" w:hAnsi="Times New Roman" w:cs="Times New Roman"/>
                <w:color w:val="ED7D31" w:themeColor="accent2"/>
                <w:sz w:val="24"/>
                <w:szCs w:val="24"/>
              </w:rPr>
              <w:t>Q</w:t>
            </w:r>
            <w:r>
              <w:rPr>
                <w:rFonts w:ascii="Times New Roman" w:hAnsi="Times New Roman" w:cs="Times New Roman"/>
                <w:sz w:val="24"/>
                <w:szCs w:val="24"/>
              </w:rPr>
              <w:t>MYWTD</w:t>
            </w:r>
          </w:p>
        </w:tc>
        <w:tc>
          <w:tcPr>
            <w:tcW w:w="225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FGS</w:t>
            </w:r>
            <w:r w:rsidRPr="00E56831">
              <w:rPr>
                <w:rFonts w:ascii="Times New Roman" w:hAnsi="Times New Roman" w:cs="Times New Roman"/>
                <w:color w:val="FF0000"/>
                <w:sz w:val="24"/>
                <w:szCs w:val="24"/>
              </w:rPr>
              <w:t>W</w:t>
            </w:r>
            <w:r>
              <w:rPr>
                <w:rFonts w:ascii="Times New Roman" w:hAnsi="Times New Roman" w:cs="Times New Roman"/>
                <w:sz w:val="24"/>
                <w:szCs w:val="24"/>
              </w:rPr>
              <w:t>TYGG</w:t>
            </w:r>
          </w:p>
        </w:tc>
        <w:tc>
          <w:tcPr>
            <w:tcW w:w="252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E56831">
              <w:rPr>
                <w:rFonts w:ascii="Times New Roman" w:hAnsi="Times New Roman" w:cs="Times New Roman"/>
                <w:color w:val="70AD47" w:themeColor="accent6"/>
                <w:sz w:val="24"/>
                <w:szCs w:val="24"/>
              </w:rPr>
              <w:t>YECC</w:t>
            </w:r>
            <w:r w:rsidR="00494B17">
              <w:rPr>
                <w:rFonts w:ascii="Times New Roman" w:hAnsi="Times New Roman" w:cs="Times New Roman"/>
                <w:sz w:val="24"/>
                <w:szCs w:val="24"/>
              </w:rPr>
              <w:t>KEP</w:t>
            </w:r>
            <w:r w:rsidR="00494B17" w:rsidRPr="00E56831">
              <w:rPr>
                <w:rFonts w:ascii="Times New Roman" w:hAnsi="Times New Roman" w:cs="Times New Roman"/>
                <w:color w:val="FF0000"/>
                <w:sz w:val="24"/>
                <w:szCs w:val="24"/>
              </w:rPr>
              <w:t>Y</w:t>
            </w:r>
          </w:p>
        </w:tc>
      </w:tr>
      <w:tr w:rsidR="00435F05" w:rsidTr="00E5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35F05" w:rsidRDefault="00435F05" w:rsidP="00504B62">
            <w:pPr>
              <w:rPr>
                <w:rFonts w:ascii="Times New Roman" w:hAnsi="Times New Roman" w:cs="Times New Roman"/>
                <w:sz w:val="24"/>
                <w:szCs w:val="24"/>
              </w:rPr>
            </w:pPr>
            <w:r>
              <w:rPr>
                <w:rFonts w:ascii="Times New Roman" w:hAnsi="Times New Roman" w:cs="Times New Roman"/>
                <w:sz w:val="24"/>
                <w:szCs w:val="24"/>
              </w:rPr>
              <w:t xml:space="preserve">Drosophila Melanogaster a2 </w:t>
            </w:r>
          </w:p>
        </w:tc>
        <w:tc>
          <w:tcPr>
            <w:tcW w:w="243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SNVWL</w:t>
            </w:r>
            <w:r w:rsidRPr="00E56831">
              <w:rPr>
                <w:rFonts w:ascii="Times New Roman" w:hAnsi="Times New Roman" w:cs="Times New Roman"/>
                <w:color w:val="ED7D31" w:themeColor="accent2"/>
                <w:sz w:val="24"/>
                <w:szCs w:val="24"/>
              </w:rPr>
              <w:t>R</w:t>
            </w:r>
            <w:r w:rsidRPr="00435F05">
              <w:rPr>
                <w:rFonts w:ascii="Times New Roman" w:hAnsi="Times New Roman" w:cs="Times New Roman"/>
                <w:sz w:val="24"/>
                <w:szCs w:val="24"/>
              </w:rPr>
              <w:t>LVWYD</w:t>
            </w:r>
          </w:p>
        </w:tc>
        <w:tc>
          <w:tcPr>
            <w:tcW w:w="225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FGS</w:t>
            </w:r>
            <w:r w:rsidRPr="00E56831">
              <w:rPr>
                <w:rFonts w:ascii="Times New Roman" w:hAnsi="Times New Roman" w:cs="Times New Roman"/>
                <w:color w:val="FF0000"/>
                <w:sz w:val="24"/>
                <w:szCs w:val="24"/>
              </w:rPr>
              <w:t>W</w:t>
            </w:r>
            <w:r>
              <w:rPr>
                <w:rFonts w:ascii="Times New Roman" w:hAnsi="Times New Roman" w:cs="Times New Roman"/>
                <w:sz w:val="24"/>
                <w:szCs w:val="24"/>
              </w:rPr>
              <w:t>TYDG</w:t>
            </w:r>
          </w:p>
        </w:tc>
        <w:tc>
          <w:tcPr>
            <w:tcW w:w="252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r w:rsidRPr="00E56831">
              <w:rPr>
                <w:rFonts w:ascii="Times New Roman" w:hAnsi="Times New Roman" w:cs="Times New Roman"/>
                <w:color w:val="70AD47" w:themeColor="accent6"/>
                <w:sz w:val="24"/>
                <w:szCs w:val="24"/>
              </w:rPr>
              <w:t>YPCC</w:t>
            </w:r>
            <w:r>
              <w:rPr>
                <w:rFonts w:ascii="Times New Roman" w:hAnsi="Times New Roman" w:cs="Times New Roman"/>
                <w:sz w:val="24"/>
                <w:szCs w:val="24"/>
              </w:rPr>
              <w:t>EEP</w:t>
            </w:r>
            <w:r w:rsidRPr="00E56831">
              <w:rPr>
                <w:rFonts w:ascii="Times New Roman" w:hAnsi="Times New Roman" w:cs="Times New Roman"/>
                <w:color w:val="FF0000"/>
                <w:sz w:val="24"/>
                <w:szCs w:val="24"/>
              </w:rPr>
              <w:t>Y</w:t>
            </w:r>
          </w:p>
        </w:tc>
      </w:tr>
      <w:tr w:rsidR="005C5C90" w:rsidTr="00E56831">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Apis Mellifera a7</w:t>
            </w:r>
          </w:p>
        </w:tc>
        <w:tc>
          <w:tcPr>
            <w:tcW w:w="2430" w:type="dxa"/>
          </w:tcPr>
          <w:p w:rsidR="005C5C90" w:rsidRDefault="005C5C90"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0CD2">
              <w:rPr>
                <w:rStyle w:val="feature"/>
                <w:rFonts w:ascii="Times New Roman" w:hAnsi="Times New Roman" w:cs="Times New Roman"/>
                <w:color w:val="000000"/>
                <w:sz w:val="24"/>
                <w:szCs w:val="24"/>
              </w:rPr>
              <w:t>TNLWL</w:t>
            </w:r>
            <w:r w:rsidRPr="00E56831">
              <w:rPr>
                <w:rStyle w:val="feature"/>
                <w:rFonts w:ascii="Times New Roman" w:hAnsi="Times New Roman" w:cs="Times New Roman"/>
                <w:color w:val="ED7D31" w:themeColor="accent2"/>
                <w:sz w:val="24"/>
                <w:szCs w:val="24"/>
              </w:rPr>
              <w:t>K</w:t>
            </w:r>
            <w:r w:rsidRPr="003B0CD2">
              <w:rPr>
                <w:rStyle w:val="feature"/>
                <w:rFonts w:ascii="Times New Roman" w:hAnsi="Times New Roman" w:cs="Times New Roman"/>
                <w:color w:val="000000"/>
                <w:sz w:val="24"/>
                <w:szCs w:val="24"/>
              </w:rPr>
              <w:t>LEWN</w:t>
            </w:r>
            <w:r>
              <w:rPr>
                <w:rStyle w:val="feature"/>
                <w:rFonts w:ascii="Times New Roman" w:hAnsi="Times New Roman" w:cs="Times New Roman"/>
                <w:color w:val="000000"/>
                <w:sz w:val="24"/>
                <w:szCs w:val="24"/>
              </w:rPr>
              <w:t>D</w:t>
            </w:r>
          </w:p>
        </w:tc>
        <w:tc>
          <w:tcPr>
            <w:tcW w:w="2250" w:type="dxa"/>
          </w:tcPr>
          <w:p w:rsidR="005C5C90" w:rsidRPr="00713544" w:rsidRDefault="00713544" w:rsidP="00713544">
            <w:pPr>
              <w:pStyle w:val="HTMLPreformatted"/>
              <w:shd w:val="clear" w:color="auto" w:fill="FFFFFF"/>
              <w:spacing w:line="25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3544">
              <w:rPr>
                <w:rStyle w:val="feature"/>
                <w:rFonts w:ascii="Times New Roman" w:hAnsi="Times New Roman" w:cs="Times New Roman"/>
                <w:color w:val="000000"/>
                <w:sz w:val="24"/>
                <w:szCs w:val="24"/>
              </w:rPr>
              <w:t>FGS</w:t>
            </w:r>
            <w:r w:rsidRPr="00E56831">
              <w:rPr>
                <w:rStyle w:val="feature"/>
                <w:rFonts w:ascii="Times New Roman" w:hAnsi="Times New Roman" w:cs="Times New Roman"/>
                <w:color w:val="FF0000"/>
                <w:sz w:val="24"/>
                <w:szCs w:val="24"/>
              </w:rPr>
              <w:t>W</w:t>
            </w:r>
            <w:r w:rsidRPr="00713544">
              <w:rPr>
                <w:rStyle w:val="feature"/>
                <w:rFonts w:ascii="Times New Roman" w:hAnsi="Times New Roman" w:cs="Times New Roman"/>
                <w:color w:val="000000"/>
                <w:sz w:val="24"/>
                <w:szCs w:val="24"/>
              </w:rPr>
              <w:t>T</w:t>
            </w:r>
            <w:r w:rsidRPr="00E56831">
              <w:rPr>
                <w:rStyle w:val="feature"/>
                <w:rFonts w:ascii="Times New Roman" w:hAnsi="Times New Roman" w:cs="Times New Roman"/>
                <w:sz w:val="24"/>
                <w:szCs w:val="24"/>
              </w:rPr>
              <w:t>Y</w:t>
            </w:r>
            <w:r w:rsidRPr="00713544">
              <w:rPr>
                <w:rStyle w:val="feature"/>
                <w:rFonts w:ascii="Times New Roman" w:hAnsi="Times New Roman" w:cs="Times New Roman"/>
                <w:color w:val="000000"/>
                <w:sz w:val="24"/>
                <w:szCs w:val="24"/>
              </w:rPr>
              <w:t>DG</w:t>
            </w:r>
          </w:p>
        </w:tc>
        <w:tc>
          <w:tcPr>
            <w:tcW w:w="2520" w:type="dxa"/>
          </w:tcPr>
          <w:p w:rsidR="005C5C90" w:rsidRPr="00713544" w:rsidRDefault="00713544" w:rsidP="00713544">
            <w:pPr>
              <w:pStyle w:val="HTMLPreformatted"/>
              <w:shd w:val="clear" w:color="auto" w:fill="FFFFFF"/>
              <w:spacing w:line="25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3544">
              <w:rPr>
                <w:rStyle w:val="feature"/>
                <w:rFonts w:ascii="Times New Roman" w:hAnsi="Times New Roman" w:cs="Times New Roman"/>
                <w:color w:val="000000"/>
                <w:sz w:val="24"/>
                <w:szCs w:val="24"/>
              </w:rPr>
              <w:t>Y</w:t>
            </w:r>
            <w:r w:rsidRPr="00E56831">
              <w:rPr>
                <w:rStyle w:val="feature"/>
                <w:rFonts w:ascii="Times New Roman" w:hAnsi="Times New Roman" w:cs="Times New Roman"/>
                <w:color w:val="70AD47" w:themeColor="accent6"/>
                <w:sz w:val="24"/>
                <w:szCs w:val="24"/>
              </w:rPr>
              <w:t>YNCC</w:t>
            </w:r>
            <w:r w:rsidRPr="00713544">
              <w:rPr>
                <w:rStyle w:val="feature"/>
                <w:rFonts w:ascii="Times New Roman" w:hAnsi="Times New Roman" w:cs="Times New Roman"/>
                <w:color w:val="000000"/>
                <w:sz w:val="24"/>
                <w:szCs w:val="24"/>
              </w:rPr>
              <w:t>PEP</w:t>
            </w:r>
            <w:r w:rsidRPr="00E56831">
              <w:rPr>
                <w:rStyle w:val="feature"/>
                <w:rFonts w:ascii="Times New Roman" w:hAnsi="Times New Roman" w:cs="Times New Roman"/>
                <w:color w:val="FF0000"/>
                <w:sz w:val="24"/>
                <w:szCs w:val="24"/>
              </w:rPr>
              <w:t>Y</w:t>
            </w:r>
          </w:p>
        </w:tc>
      </w:tr>
    </w:tbl>
    <w:p w:rsidR="006906F7" w:rsidRDefault="00A63815" w:rsidP="00504B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1C7DD98" wp14:editId="5B8CDEBE">
                <wp:simplePos x="0" y="0"/>
                <wp:positionH relativeFrom="column">
                  <wp:posOffset>5146131</wp:posOffset>
                </wp:positionH>
                <wp:positionV relativeFrom="paragraph">
                  <wp:posOffset>23495</wp:posOffset>
                </wp:positionV>
                <wp:extent cx="117566" cy="195943"/>
                <wp:effectExtent l="19050" t="19050" r="34925" b="13970"/>
                <wp:wrapNone/>
                <wp:docPr id="30" name="Up Arrow 30"/>
                <wp:cNvGraphicFramePr/>
                <a:graphic xmlns:a="http://schemas.openxmlformats.org/drawingml/2006/main">
                  <a:graphicData uri="http://schemas.microsoft.com/office/word/2010/wordprocessingShape">
                    <wps:wsp>
                      <wps:cNvSpPr/>
                      <wps:spPr>
                        <a:xfrm>
                          <a:off x="0" y="0"/>
                          <a:ext cx="117566" cy="19594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3109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405.2pt;margin-top:1.85pt;width:9.25pt;height:15.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" adj="6480" fillcolor="#5b9bd5 [3204]" strokecolor="#1f4d78 [1604]" strokeweight="1pt"/>
            </w:pict>
          </mc:Fallback>
        </mc:AlternateContent>
      </w:r>
      <w:r w:rsidR="00E56831" w:rsidRPr="00E56831">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44099577" wp14:editId="3EB7E0C7">
                <wp:simplePos x="0" y="0"/>
                <wp:positionH relativeFrom="margin">
                  <wp:align>left</wp:align>
                </wp:positionH>
                <wp:positionV relativeFrom="paragraph">
                  <wp:posOffset>89535</wp:posOffset>
                </wp:positionV>
                <wp:extent cx="2607945" cy="788035"/>
                <wp:effectExtent l="0" t="0" r="2095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788125"/>
                        </a:xfrm>
                        <a:prstGeom prst="rect">
                          <a:avLst/>
                        </a:prstGeom>
                        <a:solidFill>
                          <a:srgbClr val="FFFFFF"/>
                        </a:solidFill>
                        <a:ln w="9525">
                          <a:solidFill>
                            <a:schemeClr val="bg1"/>
                          </a:solidFill>
                          <a:miter lim="800000"/>
                          <a:headEnd/>
                          <a:tailEnd/>
                        </a:ln>
                      </wps:spPr>
                      <wps:txbx>
                        <w:txbxContent>
                          <w:p w:rsidR="00E56831" w:rsidRPr="00E56831" w:rsidRDefault="00E56831"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YXCC motif: </w:t>
                            </w:r>
                            <w:r w:rsidRPr="00E56831">
                              <w:rPr>
                                <w:rFonts w:ascii="Times New Roman" w:hAnsi="Times New Roman" w:cs="Times New Roman"/>
                                <w:color w:val="70AD47" w:themeColor="accent6"/>
                                <w:sz w:val="24"/>
                                <w:szCs w:val="24"/>
                              </w:rPr>
                              <w:t>green</w:t>
                            </w:r>
                          </w:p>
                          <w:p w:rsidR="00E56831" w:rsidRPr="00E56831" w:rsidRDefault="00C23336" w:rsidP="00E56831">
                            <w:pPr>
                              <w:spacing w:after="0" w:line="240" w:lineRule="auto"/>
                              <w:rPr>
                                <w:rFonts w:ascii="Times New Roman" w:hAnsi="Times New Roman" w:cs="Times New Roman"/>
                                <w:color w:val="ED7D31" w:themeColor="accent2"/>
                                <w:sz w:val="24"/>
                                <w:szCs w:val="24"/>
                              </w:rPr>
                            </w:pPr>
                            <w:r>
                              <w:rPr>
                                <w:rFonts w:ascii="Times New Roman" w:hAnsi="Times New Roman" w:cs="Times New Roman"/>
                                <w:sz w:val="24"/>
                                <w:szCs w:val="24"/>
                              </w:rPr>
                              <w:t>Fig. 2 residues</w:t>
                            </w:r>
                            <w:r w:rsidR="00E56831" w:rsidRPr="00E56831">
                              <w:rPr>
                                <w:rFonts w:ascii="Times New Roman" w:hAnsi="Times New Roman" w:cs="Times New Roman"/>
                                <w:sz w:val="24"/>
                                <w:szCs w:val="24"/>
                              </w:rPr>
                              <w:t xml:space="preserve">: </w:t>
                            </w:r>
                            <w:r w:rsidR="00E56831" w:rsidRPr="00E56831">
                              <w:rPr>
                                <w:rFonts w:ascii="Times New Roman" w:hAnsi="Times New Roman" w:cs="Times New Roman"/>
                                <w:color w:val="ED7D31" w:themeColor="accent2"/>
                                <w:sz w:val="24"/>
                                <w:szCs w:val="24"/>
                              </w:rPr>
                              <w:t>orange</w:t>
                            </w:r>
                          </w:p>
                          <w:p w:rsidR="00E56831" w:rsidRDefault="00E56831"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Fig. 3 residues:  </w:t>
                            </w:r>
                            <w:r w:rsidRPr="00E56831">
                              <w:rPr>
                                <w:rFonts w:ascii="Times New Roman" w:hAnsi="Times New Roman" w:cs="Times New Roman"/>
                                <w:color w:val="FF0000"/>
                                <w:sz w:val="24"/>
                                <w:szCs w:val="24"/>
                              </w:rPr>
                              <w:t xml:space="preserve">red </w:t>
                            </w:r>
                            <w:r w:rsidRPr="00E56831">
                              <w:rPr>
                                <w:rFonts w:ascii="Times New Roman" w:hAnsi="Times New Roman" w:cs="Times New Roman"/>
                                <w:sz w:val="24"/>
                                <w:szCs w:val="24"/>
                              </w:rPr>
                              <w:t xml:space="preserve">and </w:t>
                            </w:r>
                            <w:r w:rsidRPr="00E56831">
                              <w:rPr>
                                <w:rFonts w:ascii="Times New Roman" w:hAnsi="Times New Roman" w:cs="Times New Roman"/>
                                <w:color w:val="70AD47" w:themeColor="accent6"/>
                                <w:sz w:val="24"/>
                                <w:szCs w:val="24"/>
                              </w:rPr>
                              <w:t>Y of YXCC</w:t>
                            </w:r>
                          </w:p>
                          <w:p w:rsidR="00E56831" w:rsidRPr="00E56831" w:rsidRDefault="00E56831" w:rsidP="00E56831">
                            <w:pPr>
                              <w:spacing w:after="0" w:line="240" w:lineRule="auto"/>
                              <w:rPr>
                                <w:rFonts w:ascii="Times New Roman" w:hAnsi="Times New Roman" w:cs="Times New Roman"/>
                                <w:sz w:val="24"/>
                                <w:szCs w:val="24"/>
                              </w:rPr>
                            </w:pPr>
                            <w:r>
                              <w:rPr>
                                <w:rFonts w:ascii="Times New Roman" w:hAnsi="Times New Roman" w:cs="Times New Roman"/>
                                <w:sz w:val="24"/>
                                <w:szCs w:val="24"/>
                              </w:rPr>
                              <w:t>Location of mutations to be studied: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99577" id="_x0000_s1029" type="#_x0000_t202" style="position:absolute;margin-left:0;margin-top:7.05pt;width:205.35pt;height:62.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" strokecolor="white [3212]">
                <v:textbox>
                  <w:txbxContent>
                    <w:p w:rsidR="00E56831" w:rsidRPr="00E56831" w:rsidRDefault="00E56831"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YXCC motif: </w:t>
                      </w:r>
                      <w:r w:rsidRPr="00E56831">
                        <w:rPr>
                          <w:rFonts w:ascii="Times New Roman" w:hAnsi="Times New Roman" w:cs="Times New Roman"/>
                          <w:color w:val="70AD47" w:themeColor="accent6"/>
                          <w:sz w:val="24"/>
                          <w:szCs w:val="24"/>
                        </w:rPr>
                        <w:t>green</w:t>
                      </w:r>
                    </w:p>
                    <w:p w:rsidR="00E56831" w:rsidRPr="00E56831" w:rsidRDefault="00C23336" w:rsidP="00E56831">
                      <w:pPr>
                        <w:spacing w:after="0" w:line="240" w:lineRule="auto"/>
                        <w:rPr>
                          <w:rFonts w:ascii="Times New Roman" w:hAnsi="Times New Roman" w:cs="Times New Roman"/>
                          <w:color w:val="ED7D31" w:themeColor="accent2"/>
                          <w:sz w:val="24"/>
                          <w:szCs w:val="24"/>
                        </w:rPr>
                      </w:pPr>
                      <w:r>
                        <w:rPr>
                          <w:rFonts w:ascii="Times New Roman" w:hAnsi="Times New Roman" w:cs="Times New Roman"/>
                          <w:sz w:val="24"/>
                          <w:szCs w:val="24"/>
                        </w:rPr>
                        <w:t>Fig. 2 residues</w:t>
                      </w:r>
                      <w:r w:rsidR="00E56831" w:rsidRPr="00E56831">
                        <w:rPr>
                          <w:rFonts w:ascii="Times New Roman" w:hAnsi="Times New Roman" w:cs="Times New Roman"/>
                          <w:sz w:val="24"/>
                          <w:szCs w:val="24"/>
                        </w:rPr>
                        <w:t xml:space="preserve">: </w:t>
                      </w:r>
                      <w:r w:rsidR="00E56831" w:rsidRPr="00E56831">
                        <w:rPr>
                          <w:rFonts w:ascii="Times New Roman" w:hAnsi="Times New Roman" w:cs="Times New Roman"/>
                          <w:color w:val="ED7D31" w:themeColor="accent2"/>
                          <w:sz w:val="24"/>
                          <w:szCs w:val="24"/>
                        </w:rPr>
                        <w:t>orange</w:t>
                      </w:r>
                    </w:p>
                    <w:p w:rsidR="00E56831" w:rsidRDefault="00E56831"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Fig. 3 residues:  </w:t>
                      </w:r>
                      <w:r w:rsidRPr="00E56831">
                        <w:rPr>
                          <w:rFonts w:ascii="Times New Roman" w:hAnsi="Times New Roman" w:cs="Times New Roman"/>
                          <w:color w:val="FF0000"/>
                          <w:sz w:val="24"/>
                          <w:szCs w:val="24"/>
                        </w:rPr>
                        <w:t xml:space="preserve">red </w:t>
                      </w:r>
                      <w:r w:rsidRPr="00E56831">
                        <w:rPr>
                          <w:rFonts w:ascii="Times New Roman" w:hAnsi="Times New Roman" w:cs="Times New Roman"/>
                          <w:sz w:val="24"/>
                          <w:szCs w:val="24"/>
                        </w:rPr>
                        <w:t xml:space="preserve">and </w:t>
                      </w:r>
                      <w:r w:rsidRPr="00E56831">
                        <w:rPr>
                          <w:rFonts w:ascii="Times New Roman" w:hAnsi="Times New Roman" w:cs="Times New Roman"/>
                          <w:color w:val="70AD47" w:themeColor="accent6"/>
                          <w:sz w:val="24"/>
                          <w:szCs w:val="24"/>
                        </w:rPr>
                        <w:t>Y of YXCC</w:t>
                      </w:r>
                    </w:p>
                    <w:p w:rsidR="00E56831" w:rsidRPr="00E56831" w:rsidRDefault="00E56831" w:rsidP="00E56831">
                      <w:pPr>
                        <w:spacing w:after="0" w:line="240" w:lineRule="auto"/>
                        <w:rPr>
                          <w:rFonts w:ascii="Times New Roman" w:hAnsi="Times New Roman" w:cs="Times New Roman"/>
                          <w:sz w:val="24"/>
                          <w:szCs w:val="24"/>
                        </w:rPr>
                      </w:pPr>
                      <w:r>
                        <w:rPr>
                          <w:rFonts w:ascii="Times New Roman" w:hAnsi="Times New Roman" w:cs="Times New Roman"/>
                          <w:sz w:val="24"/>
                          <w:szCs w:val="24"/>
                        </w:rPr>
                        <w:t>Location of mutations to be studied:</w:t>
                      </w:r>
                    </w:p>
                  </w:txbxContent>
                </v:textbox>
                <w10:wrap type="square" anchorx="margin"/>
              </v:shape>
            </w:pict>
          </mc:Fallback>
        </mc:AlternateContent>
      </w:r>
      <w:r w:rsidR="00E5683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F37175F" wp14:editId="6F88729F">
                <wp:simplePos x="0" y="0"/>
                <wp:positionH relativeFrom="column">
                  <wp:posOffset>5259977</wp:posOffset>
                </wp:positionH>
                <wp:positionV relativeFrom="paragraph">
                  <wp:posOffset>22769</wp:posOffset>
                </wp:positionV>
                <wp:extent cx="117566" cy="195943"/>
                <wp:effectExtent l="19050" t="19050" r="34925" b="13970"/>
                <wp:wrapNone/>
                <wp:docPr id="192" name="Up Arrow 192"/>
                <wp:cNvGraphicFramePr/>
                <a:graphic xmlns:a="http://schemas.openxmlformats.org/drawingml/2006/main">
                  <a:graphicData uri="http://schemas.microsoft.com/office/word/2010/wordprocessingShape">
                    <wps:wsp>
                      <wps:cNvSpPr/>
                      <wps:spPr>
                        <a:xfrm>
                          <a:off x="0" y="0"/>
                          <a:ext cx="117566" cy="19594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2FFE" id="Up Arrow 192" o:spid="_x0000_s1026" type="#_x0000_t68" style="position:absolute;margin-left:414.15pt;margin-top:1.8pt;width:9.25pt;height:15.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" adj="6480" fillcolor="#5b9bd5" strokecolor="#41719c" strokeweight="1pt"/>
            </w:pict>
          </mc:Fallback>
        </mc:AlternateContent>
      </w:r>
      <w:r w:rsidR="00E5683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5CEBE1E" wp14:editId="276065A2">
                <wp:simplePos x="0" y="0"/>
                <wp:positionH relativeFrom="column">
                  <wp:posOffset>2595154</wp:posOffset>
                </wp:positionH>
                <wp:positionV relativeFrom="paragraph">
                  <wp:posOffset>28666</wp:posOffset>
                </wp:positionV>
                <wp:extent cx="121920" cy="187234"/>
                <wp:effectExtent l="19050" t="19050" r="30480" b="22860"/>
                <wp:wrapNone/>
                <wp:docPr id="28" name="Up Arrow 28"/>
                <wp:cNvGraphicFramePr/>
                <a:graphic xmlns:a="http://schemas.openxmlformats.org/drawingml/2006/main">
                  <a:graphicData uri="http://schemas.microsoft.com/office/word/2010/wordprocessingShape">
                    <wps:wsp>
                      <wps:cNvSpPr/>
                      <wps:spPr>
                        <a:xfrm>
                          <a:off x="0" y="0"/>
                          <a:ext cx="121920" cy="1872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3B373" id="Up Arrow 28" o:spid="_x0000_s1026" type="#_x0000_t68" style="position:absolute;margin-left:204.35pt;margin-top:2.25pt;width:9.6pt;height:1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" adj="7033" fillcolor="#5b9bd5 [3204]" strokecolor="#1f4d78 [1604]" strokeweight="1pt"/>
            </w:pict>
          </mc:Fallback>
        </mc:AlternateContent>
      </w:r>
    </w:p>
    <w:p w:rsidR="00DD6EC3" w:rsidRPr="00D97EC8" w:rsidRDefault="00DD6EC3" w:rsidP="00504B62">
      <w:pPr>
        <w:rPr>
          <w:rFonts w:ascii="Times New Roman" w:hAnsi="Times New Roman" w:cs="Times New Roman"/>
          <w:sz w:val="24"/>
          <w:szCs w:val="24"/>
        </w:rPr>
      </w:pPr>
    </w:p>
    <w:p w:rsidR="006906F7" w:rsidRDefault="00E56831" w:rsidP="00504B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2346597</wp:posOffset>
                </wp:positionH>
                <wp:positionV relativeFrom="paragraph">
                  <wp:posOffset>95431</wp:posOffset>
                </wp:positionV>
                <wp:extent cx="139337" cy="178526"/>
                <wp:effectExtent l="19050" t="19050" r="32385" b="12065"/>
                <wp:wrapNone/>
                <wp:docPr id="27" name="Up Arrow 27"/>
                <wp:cNvGraphicFramePr/>
                <a:graphic xmlns:a="http://schemas.openxmlformats.org/drawingml/2006/main">
                  <a:graphicData uri="http://schemas.microsoft.com/office/word/2010/wordprocessingShape">
                    <wps:wsp>
                      <wps:cNvSpPr/>
                      <wps:spPr>
                        <a:xfrm>
                          <a:off x="0" y="0"/>
                          <a:ext cx="139337" cy="17852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B0C41" id="Up Arrow 27" o:spid="_x0000_s1026" type="#_x0000_t68" style="position:absolute;margin-left:184.75pt;margin-top:7.5pt;width:10.95pt;height:1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" adj="8429" fillcolor="#5b9bd5 [3204]" strokecolor="#1f4d78 [1604]" strokeweight="1pt"/>
            </w:pict>
          </mc:Fallback>
        </mc:AlternateContent>
      </w:r>
    </w:p>
    <w:p w:rsidR="00C23336" w:rsidRDefault="00C23336" w:rsidP="00504B62">
      <w:pPr>
        <w:rPr>
          <w:rFonts w:ascii="Times New Roman" w:hAnsi="Times New Roman" w:cs="Times New Roman"/>
          <w:sz w:val="24"/>
          <w:szCs w:val="24"/>
        </w:rPr>
      </w:pPr>
    </w:p>
    <w:p w:rsidR="00C23336" w:rsidRDefault="00C23336" w:rsidP="00C23336">
      <w:pPr>
        <w:pStyle w:val="ListParagraph"/>
        <w:numPr>
          <w:ilvl w:val="0"/>
          <w:numId w:val="3"/>
        </w:numPr>
        <w:rPr>
          <w:rFonts w:ascii="Times New Roman" w:hAnsi="Times New Roman" w:cs="Times New Roman"/>
          <w:sz w:val="24"/>
          <w:szCs w:val="24"/>
        </w:rPr>
      </w:pPr>
      <w:r w:rsidRPr="00D97EC8">
        <w:rPr>
          <w:rFonts w:ascii="Times New Roman" w:hAnsi="Times New Roman" w:cs="Times New Roman"/>
          <w:sz w:val="24"/>
          <w:szCs w:val="24"/>
        </w:rPr>
        <w:t>E</w:t>
      </w:r>
      <w:r>
        <w:rPr>
          <w:rFonts w:ascii="Times New Roman" w:hAnsi="Times New Roman" w:cs="Times New Roman"/>
          <w:sz w:val="24"/>
          <w:szCs w:val="24"/>
        </w:rPr>
        <w:t>xperimental Procedure</w:t>
      </w:r>
    </w:p>
    <w:p w:rsidR="00C23336" w:rsidRPr="00A26CFE" w:rsidRDefault="00C23336" w:rsidP="00C23336">
      <w:pPr>
        <w:pStyle w:val="ListParagraph"/>
        <w:numPr>
          <w:ilvl w:val="1"/>
          <w:numId w:val="3"/>
        </w:numPr>
        <w:rPr>
          <w:rFonts w:ascii="Times New Roman" w:hAnsi="Times New Roman" w:cs="Times New Roman"/>
          <w:sz w:val="24"/>
          <w:szCs w:val="24"/>
        </w:rPr>
      </w:pPr>
      <w:r w:rsidRPr="00A26CFE">
        <w:rPr>
          <w:rFonts w:ascii="Times New Roman" w:hAnsi="Times New Roman" w:cs="Times New Roman"/>
          <w:sz w:val="24"/>
          <w:szCs w:val="24"/>
        </w:rPr>
        <w:t>Overview of experiment</w:t>
      </w:r>
    </w:p>
    <w:p w:rsidR="00C23336" w:rsidRPr="00D97EC8" w:rsidRDefault="00C23336" w:rsidP="00C23336">
      <w:pPr>
        <w:pStyle w:val="ListParagraph"/>
        <w:numPr>
          <w:ilvl w:val="2"/>
          <w:numId w:val="3"/>
        </w:numPr>
        <w:ind w:left="1746"/>
        <w:rPr>
          <w:rFonts w:ascii="Times New Roman" w:hAnsi="Times New Roman" w:cs="Times New Roman"/>
          <w:sz w:val="24"/>
          <w:szCs w:val="24"/>
        </w:rPr>
      </w:pPr>
      <w:r w:rsidRPr="00D97EC8">
        <w:rPr>
          <w:rFonts w:ascii="Times New Roman" w:hAnsi="Times New Roman" w:cs="Times New Roman"/>
          <w:sz w:val="24"/>
          <w:szCs w:val="24"/>
        </w:rPr>
        <w:t xml:space="preserve">Test affinity of Imidacloprid and Acetamiprid on multiple mutated forms of Nicotinic </w:t>
      </w:r>
      <w:r>
        <w:rPr>
          <w:rFonts w:ascii="Times New Roman" w:hAnsi="Times New Roman" w:cs="Times New Roman"/>
          <w:sz w:val="24"/>
          <w:szCs w:val="24"/>
        </w:rPr>
        <w:t>Acetylcholine R</w:t>
      </w:r>
      <w:r w:rsidRPr="00D97EC8">
        <w:rPr>
          <w:rFonts w:ascii="Times New Roman" w:hAnsi="Times New Roman" w:cs="Times New Roman"/>
          <w:sz w:val="24"/>
          <w:szCs w:val="24"/>
        </w:rPr>
        <w:t>eceptors.</w:t>
      </w:r>
    </w:p>
    <w:p w:rsidR="00C23336" w:rsidRPr="00D97EC8" w:rsidRDefault="00C23336" w:rsidP="00C23336">
      <w:pPr>
        <w:pStyle w:val="ListParagraph"/>
        <w:numPr>
          <w:ilvl w:val="2"/>
          <w:numId w:val="3"/>
        </w:numPr>
        <w:ind w:left="1746"/>
        <w:rPr>
          <w:rFonts w:ascii="Times New Roman" w:hAnsi="Times New Roman" w:cs="Times New Roman"/>
          <w:sz w:val="24"/>
          <w:szCs w:val="24"/>
        </w:rPr>
      </w:pPr>
      <w:r w:rsidRPr="00D97EC8">
        <w:rPr>
          <w:rFonts w:ascii="Times New Roman" w:hAnsi="Times New Roman" w:cs="Times New Roman"/>
          <w:sz w:val="24"/>
          <w:szCs w:val="24"/>
        </w:rPr>
        <w:t>Acetamiprid affinity will not be effected by mutations that cause Imidacloprid resistance as it does not contain the Imidazoline binding site</w:t>
      </w:r>
      <w:r>
        <w:rPr>
          <w:rFonts w:ascii="Times New Roman" w:hAnsi="Times New Roman" w:cs="Times New Roman"/>
          <w:sz w:val="24"/>
          <w:szCs w:val="24"/>
        </w:rPr>
        <w:t xml:space="preserve"> or the nitro substituted group</w:t>
      </w:r>
      <w:r w:rsidRPr="00D97EC8">
        <w:rPr>
          <w:rFonts w:ascii="Times New Roman" w:hAnsi="Times New Roman" w:cs="Times New Roman"/>
          <w:sz w:val="24"/>
          <w:szCs w:val="24"/>
        </w:rPr>
        <w:t>.</w:t>
      </w:r>
    </w:p>
    <w:p w:rsidR="00C23336" w:rsidRPr="00D97EC8" w:rsidRDefault="00C23336" w:rsidP="00C23336">
      <w:pPr>
        <w:pStyle w:val="ListParagraph"/>
        <w:numPr>
          <w:ilvl w:val="1"/>
          <w:numId w:val="3"/>
        </w:numPr>
        <w:rPr>
          <w:rFonts w:ascii="Times New Roman" w:hAnsi="Times New Roman" w:cs="Times New Roman"/>
          <w:sz w:val="24"/>
          <w:szCs w:val="24"/>
        </w:rPr>
      </w:pPr>
      <w:r w:rsidRPr="00D97EC8">
        <w:rPr>
          <w:rFonts w:ascii="Times New Roman" w:hAnsi="Times New Roman" w:cs="Times New Roman"/>
          <w:sz w:val="24"/>
          <w:szCs w:val="24"/>
        </w:rPr>
        <w:t>Preparation of Mutant a7 subunits</w:t>
      </w:r>
      <w:r>
        <w:rPr>
          <w:rFonts w:ascii="Times New Roman" w:hAnsi="Times New Roman" w:cs="Times New Roman"/>
          <w:sz w:val="24"/>
          <w:szCs w:val="24"/>
        </w:rPr>
        <w:t xml:space="preserve"> by PCR</w:t>
      </w:r>
      <w:r w:rsidRPr="00D97EC8">
        <w:rPr>
          <w:rFonts w:ascii="Times New Roman" w:hAnsi="Times New Roman" w:cs="Times New Roman"/>
          <w:sz w:val="24"/>
          <w:szCs w:val="24"/>
        </w:rPr>
        <w:t xml:space="preserve"> (Shimomura et al, 2002)</w:t>
      </w:r>
    </w:p>
    <w:p w:rsidR="00C23336" w:rsidRPr="00D97EC8" w:rsidRDefault="00C23336" w:rsidP="00C23336">
      <w:pPr>
        <w:pStyle w:val="ListParagraph"/>
        <w:numPr>
          <w:ilvl w:val="2"/>
          <w:numId w:val="3"/>
        </w:numPr>
        <w:ind w:left="1746"/>
        <w:rPr>
          <w:rFonts w:ascii="Times New Roman" w:hAnsi="Times New Roman" w:cs="Times New Roman"/>
          <w:sz w:val="24"/>
          <w:szCs w:val="24"/>
        </w:rPr>
      </w:pPr>
      <w:r w:rsidRPr="00D97EC8">
        <w:rPr>
          <w:rFonts w:ascii="Times New Roman" w:hAnsi="Times New Roman" w:cs="Times New Roman"/>
          <w:sz w:val="24"/>
          <w:szCs w:val="24"/>
        </w:rPr>
        <w:t>Apis Mellifera nAChR subunit a7 (</w:t>
      </w:r>
      <w:r>
        <w:rPr>
          <w:rFonts w:ascii="Times New Roman" w:hAnsi="Times New Roman" w:cs="Times New Roman"/>
          <w:sz w:val="24"/>
          <w:szCs w:val="24"/>
        </w:rPr>
        <w:t xml:space="preserve">genbank: </w:t>
      </w:r>
      <w:r w:rsidRPr="00D97EC8">
        <w:rPr>
          <w:rFonts w:ascii="Times New Roman" w:hAnsi="Times New Roman" w:cs="Times New Roman"/>
          <w:color w:val="000000"/>
          <w:sz w:val="24"/>
          <w:szCs w:val="24"/>
        </w:rPr>
        <w:t>NM_001011621)</w:t>
      </w:r>
      <w:r>
        <w:rPr>
          <w:rFonts w:ascii="Times New Roman" w:hAnsi="Times New Roman" w:cs="Times New Roman"/>
          <w:sz w:val="24"/>
          <w:szCs w:val="24"/>
        </w:rPr>
        <w:t xml:space="preserve"> in the pMT3 vector will be</w:t>
      </w:r>
      <w:r w:rsidRPr="00D97EC8">
        <w:rPr>
          <w:rFonts w:ascii="Times New Roman" w:hAnsi="Times New Roman" w:cs="Times New Roman"/>
          <w:sz w:val="24"/>
          <w:szCs w:val="24"/>
        </w:rPr>
        <w:t xml:space="preserve"> used </w:t>
      </w:r>
      <w:r>
        <w:rPr>
          <w:rFonts w:ascii="Times New Roman" w:hAnsi="Times New Roman" w:cs="Times New Roman"/>
          <w:sz w:val="24"/>
          <w:szCs w:val="24"/>
        </w:rPr>
        <w:t xml:space="preserve">as a template. </w:t>
      </w:r>
    </w:p>
    <w:tbl>
      <w:tblPr>
        <w:tblStyle w:val="TableGrid"/>
        <w:tblpPr w:leftFromText="180" w:rightFromText="180" w:vertAnchor="text" w:horzAnchor="margin" w:tblpY="157"/>
        <w:tblW w:w="10263" w:type="dxa"/>
        <w:tblLook w:val="04A0" w:firstRow="1" w:lastRow="0" w:firstColumn="1" w:lastColumn="0" w:noHBand="0" w:noVBand="1"/>
      </w:tblPr>
      <w:tblGrid>
        <w:gridCol w:w="1075"/>
        <w:gridCol w:w="4500"/>
        <w:gridCol w:w="4688"/>
      </w:tblGrid>
      <w:tr w:rsidR="00C23336" w:rsidRPr="00D97EC8" w:rsidTr="00C659F6">
        <w:trPr>
          <w:trHeight w:val="259"/>
        </w:trPr>
        <w:tc>
          <w:tcPr>
            <w:tcW w:w="1075" w:type="dxa"/>
          </w:tcPr>
          <w:p w:rsidR="00C23336" w:rsidRPr="00D97EC8" w:rsidRDefault="00C23336" w:rsidP="00C659F6">
            <w:pPr>
              <w:rPr>
                <w:rFonts w:ascii="Times New Roman" w:hAnsi="Times New Roman" w:cs="Times New Roman"/>
                <w:sz w:val="20"/>
                <w:szCs w:val="20"/>
              </w:rPr>
            </w:pPr>
            <w:r w:rsidRPr="00D97EC8">
              <w:rPr>
                <w:rFonts w:ascii="Times New Roman" w:hAnsi="Times New Roman" w:cs="Times New Roman"/>
                <w:sz w:val="20"/>
                <w:szCs w:val="20"/>
              </w:rPr>
              <w:t>Mutant</w:t>
            </w:r>
          </w:p>
        </w:tc>
        <w:tc>
          <w:tcPr>
            <w:tcW w:w="4500" w:type="dxa"/>
          </w:tcPr>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Forward Strand (C)</w:t>
            </w:r>
          </w:p>
        </w:tc>
        <w:tc>
          <w:tcPr>
            <w:tcW w:w="4688" w:type="dxa"/>
          </w:tcPr>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Reverse Strand (B)</w:t>
            </w:r>
          </w:p>
        </w:tc>
      </w:tr>
      <w:tr w:rsidR="00C23336" w:rsidRPr="00D97EC8" w:rsidTr="00C659F6">
        <w:trPr>
          <w:trHeight w:val="251"/>
        </w:trPr>
        <w:tc>
          <w:tcPr>
            <w:tcW w:w="1075" w:type="dxa"/>
          </w:tcPr>
          <w:p w:rsidR="00C23336" w:rsidRPr="00D97EC8" w:rsidRDefault="00C23336" w:rsidP="00C659F6">
            <w:pPr>
              <w:rPr>
                <w:rFonts w:ascii="Times New Roman" w:hAnsi="Times New Roman" w:cs="Times New Roman"/>
                <w:sz w:val="20"/>
                <w:szCs w:val="20"/>
              </w:rPr>
            </w:pPr>
            <w:r w:rsidRPr="00D97EC8">
              <w:rPr>
                <w:rFonts w:ascii="Times New Roman" w:hAnsi="Times New Roman" w:cs="Times New Roman"/>
                <w:sz w:val="20"/>
                <w:szCs w:val="20"/>
              </w:rPr>
              <w:t>N212E</w:t>
            </w:r>
          </w:p>
        </w:tc>
        <w:tc>
          <w:tcPr>
            <w:tcW w:w="4500" w:type="dxa"/>
          </w:tcPr>
          <w:p w:rsidR="00C23336" w:rsidRPr="00D97EC8" w:rsidRDefault="00C23336" w:rsidP="00C659F6">
            <w:pPr>
              <w:rPr>
                <w:rFonts w:ascii="Times New Roman" w:hAnsi="Times New Roman" w:cs="Times New Roman"/>
                <w:sz w:val="20"/>
                <w:szCs w:val="20"/>
              </w:rPr>
            </w:pPr>
            <w:r w:rsidRPr="00D97EC8">
              <w:rPr>
                <w:rFonts w:ascii="Times New Roman" w:hAnsi="Times New Roman" w:cs="Times New Roman"/>
                <w:color w:val="000000" w:themeColor="text1"/>
                <w:kern w:val="24"/>
                <w:sz w:val="20"/>
                <w:szCs w:val="20"/>
              </w:rPr>
              <w:t>5’-TATTAC</w:t>
            </w:r>
            <w:r w:rsidRPr="00D97EC8">
              <w:rPr>
                <w:rFonts w:ascii="Times New Roman" w:hAnsi="Times New Roman" w:cs="Times New Roman"/>
                <w:color w:val="FF0000"/>
                <w:kern w:val="24"/>
                <w:sz w:val="20"/>
                <w:szCs w:val="20"/>
              </w:rPr>
              <w:t>GAG</w:t>
            </w:r>
            <w:r>
              <w:rPr>
                <w:rFonts w:ascii="Times New Roman" w:hAnsi="Times New Roman" w:cs="Times New Roman"/>
                <w:color w:val="000000" w:themeColor="text1"/>
                <w:kern w:val="24"/>
                <w:sz w:val="20"/>
                <w:szCs w:val="20"/>
              </w:rPr>
              <w:t>TGCTGCCCAGAACCG</w:t>
            </w:r>
            <w:r w:rsidRPr="00D97EC8">
              <w:rPr>
                <w:rFonts w:ascii="Times New Roman" w:hAnsi="Times New Roman" w:cs="Times New Roman"/>
                <w:color w:val="000000" w:themeColor="text1"/>
                <w:kern w:val="24"/>
                <w:sz w:val="20"/>
                <w:szCs w:val="20"/>
              </w:rPr>
              <w:t>-3’</w:t>
            </w:r>
          </w:p>
        </w:tc>
        <w:tc>
          <w:tcPr>
            <w:tcW w:w="4688" w:type="dxa"/>
          </w:tcPr>
          <w:p w:rsidR="00C23336" w:rsidRPr="00D97EC8" w:rsidRDefault="00C23336" w:rsidP="00C659F6">
            <w:pPr>
              <w:rPr>
                <w:rFonts w:ascii="Times New Roman" w:hAnsi="Times New Roman" w:cs="Times New Roman"/>
                <w:sz w:val="20"/>
                <w:szCs w:val="20"/>
              </w:rPr>
            </w:pPr>
            <w:r>
              <w:rPr>
                <w:rFonts w:ascii="Times New Roman" w:hAnsi="Times New Roman" w:cs="Times New Roman"/>
                <w:color w:val="000000" w:themeColor="text1"/>
                <w:kern w:val="24"/>
                <w:sz w:val="20"/>
                <w:szCs w:val="20"/>
              </w:rPr>
              <w:t>3’-</w:t>
            </w:r>
            <w:r w:rsidRPr="00D97EC8">
              <w:rPr>
                <w:rFonts w:ascii="Times New Roman" w:hAnsi="Times New Roman" w:cs="Times New Roman"/>
                <w:color w:val="000000" w:themeColor="text1"/>
                <w:kern w:val="24"/>
                <w:sz w:val="20"/>
                <w:szCs w:val="20"/>
              </w:rPr>
              <w:t>CGGTTCTGGGCAGCA</w:t>
            </w:r>
            <w:r w:rsidRPr="00D97EC8">
              <w:rPr>
                <w:rFonts w:ascii="Times New Roman" w:hAnsi="Times New Roman" w:cs="Times New Roman"/>
                <w:color w:val="FF0000"/>
                <w:kern w:val="24"/>
                <w:sz w:val="20"/>
                <w:szCs w:val="20"/>
              </w:rPr>
              <w:t>CTC</w:t>
            </w:r>
            <w:r w:rsidRPr="00D97EC8">
              <w:rPr>
                <w:rFonts w:ascii="Times New Roman" w:hAnsi="Times New Roman" w:cs="Times New Roman"/>
                <w:color w:val="000000" w:themeColor="text1"/>
                <w:kern w:val="24"/>
                <w:sz w:val="20"/>
                <w:szCs w:val="20"/>
              </w:rPr>
              <w:t>GTAATA-5’</w:t>
            </w:r>
          </w:p>
        </w:tc>
      </w:tr>
      <w:tr w:rsidR="00C23336" w:rsidRPr="00D97EC8" w:rsidTr="00C659F6">
        <w:trPr>
          <w:trHeight w:val="251"/>
        </w:trPr>
        <w:tc>
          <w:tcPr>
            <w:tcW w:w="1075" w:type="dxa"/>
          </w:tcPr>
          <w:p w:rsidR="00C23336" w:rsidRPr="00D97EC8" w:rsidRDefault="00C23336" w:rsidP="00C659F6">
            <w:pPr>
              <w:rPr>
                <w:rFonts w:ascii="Times New Roman" w:hAnsi="Times New Roman" w:cs="Times New Roman"/>
                <w:sz w:val="20"/>
                <w:szCs w:val="20"/>
              </w:rPr>
            </w:pPr>
            <w:r w:rsidRPr="00D97EC8">
              <w:rPr>
                <w:rFonts w:ascii="Times New Roman" w:hAnsi="Times New Roman" w:cs="Times New Roman"/>
                <w:sz w:val="20"/>
                <w:szCs w:val="20"/>
              </w:rPr>
              <w:t>Y211S</w:t>
            </w:r>
          </w:p>
        </w:tc>
        <w:tc>
          <w:tcPr>
            <w:tcW w:w="4500" w:type="dxa"/>
          </w:tcPr>
          <w:p w:rsidR="00C23336" w:rsidRPr="00D97EC8" w:rsidRDefault="00C23336" w:rsidP="00C659F6">
            <w:pPr>
              <w:rPr>
                <w:rFonts w:ascii="Times New Roman" w:hAnsi="Times New Roman" w:cs="Times New Roman"/>
                <w:sz w:val="20"/>
                <w:szCs w:val="20"/>
              </w:rPr>
            </w:pPr>
            <w:r w:rsidRPr="00D97EC8">
              <w:rPr>
                <w:rFonts w:ascii="Times New Roman" w:hAnsi="Times New Roman" w:cs="Times New Roman"/>
                <w:sz w:val="20"/>
                <w:szCs w:val="20"/>
              </w:rPr>
              <w:t>5’-TAT</w:t>
            </w:r>
            <w:r w:rsidRPr="00D97EC8">
              <w:rPr>
                <w:rFonts w:ascii="Times New Roman" w:hAnsi="Times New Roman" w:cs="Times New Roman"/>
                <w:color w:val="FF0000"/>
                <w:sz w:val="20"/>
                <w:szCs w:val="20"/>
              </w:rPr>
              <w:t>AGC</w:t>
            </w:r>
            <w:r>
              <w:rPr>
                <w:rFonts w:ascii="Times New Roman" w:hAnsi="Times New Roman" w:cs="Times New Roman"/>
                <w:sz w:val="20"/>
                <w:szCs w:val="20"/>
              </w:rPr>
              <w:t>AATTGCTGCCCAGAACCG</w:t>
            </w:r>
            <w:r w:rsidRPr="00D97EC8">
              <w:rPr>
                <w:rFonts w:ascii="Times New Roman" w:hAnsi="Times New Roman" w:cs="Times New Roman"/>
                <w:sz w:val="20"/>
                <w:szCs w:val="20"/>
              </w:rPr>
              <w:t>-3’</w:t>
            </w:r>
          </w:p>
        </w:tc>
        <w:tc>
          <w:tcPr>
            <w:tcW w:w="4688" w:type="dxa"/>
          </w:tcPr>
          <w:p w:rsidR="00C23336" w:rsidRPr="00D97EC8" w:rsidRDefault="00C23336" w:rsidP="00C659F6">
            <w:pPr>
              <w:rPr>
                <w:rFonts w:ascii="Times New Roman" w:eastAsia="Times New Roman" w:hAnsi="Times New Roman" w:cs="Times New Roman"/>
                <w:sz w:val="20"/>
                <w:szCs w:val="20"/>
              </w:rPr>
            </w:pPr>
            <w:r>
              <w:rPr>
                <w:rFonts w:ascii="Times New Roman" w:eastAsia="+mn-ea" w:hAnsi="Times New Roman" w:cs="Times New Roman"/>
                <w:color w:val="000000"/>
                <w:kern w:val="24"/>
                <w:sz w:val="20"/>
                <w:szCs w:val="20"/>
              </w:rPr>
              <w:t>3’-</w:t>
            </w:r>
            <w:r w:rsidRPr="00D97EC8">
              <w:rPr>
                <w:rFonts w:ascii="Times New Roman" w:eastAsia="+mn-ea" w:hAnsi="Times New Roman" w:cs="Times New Roman"/>
                <w:color w:val="000000"/>
                <w:kern w:val="24"/>
                <w:sz w:val="20"/>
                <w:szCs w:val="20"/>
              </w:rPr>
              <w:t>CGGTTCTGGGCAGCAATT</w:t>
            </w:r>
            <w:r w:rsidRPr="00D97EC8">
              <w:rPr>
                <w:rFonts w:ascii="Times New Roman" w:eastAsia="+mn-ea" w:hAnsi="Times New Roman" w:cs="Times New Roman"/>
                <w:color w:val="FF0000"/>
                <w:kern w:val="24"/>
                <w:sz w:val="20"/>
                <w:szCs w:val="20"/>
              </w:rPr>
              <w:t>GCT</w:t>
            </w:r>
            <w:r w:rsidRPr="00D97EC8">
              <w:rPr>
                <w:rFonts w:ascii="Times New Roman" w:eastAsia="+mn-ea" w:hAnsi="Times New Roman" w:cs="Times New Roman"/>
                <w:color w:val="000000"/>
                <w:kern w:val="24"/>
                <w:sz w:val="20"/>
                <w:szCs w:val="20"/>
              </w:rPr>
              <w:t>ATA-5’</w:t>
            </w:r>
          </w:p>
        </w:tc>
      </w:tr>
      <w:tr w:rsidR="00C23336" w:rsidRPr="00D97EC8" w:rsidTr="00C659F6">
        <w:trPr>
          <w:trHeight w:val="259"/>
        </w:trPr>
        <w:tc>
          <w:tcPr>
            <w:tcW w:w="1075" w:type="dxa"/>
          </w:tcPr>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K77Q</w:t>
            </w:r>
          </w:p>
        </w:tc>
        <w:tc>
          <w:tcPr>
            <w:tcW w:w="4500" w:type="dxa"/>
          </w:tcPr>
          <w:p w:rsidR="00C23336" w:rsidRPr="00D97EC8" w:rsidRDefault="00C23336" w:rsidP="00C659F6">
            <w:pPr>
              <w:rPr>
                <w:rFonts w:ascii="Times New Roman" w:eastAsia="Times New Roman" w:hAnsi="Times New Roman" w:cs="Times New Roman"/>
                <w:sz w:val="20"/>
                <w:szCs w:val="20"/>
              </w:rPr>
            </w:pPr>
            <w:r>
              <w:rPr>
                <w:rFonts w:ascii="Times New Roman" w:eastAsia="+mn-ea" w:hAnsi="Times New Roman" w:cs="Times New Roman"/>
                <w:color w:val="000000"/>
                <w:kern w:val="24"/>
                <w:sz w:val="20"/>
                <w:szCs w:val="20"/>
              </w:rPr>
              <w:t>5</w:t>
            </w:r>
            <w:r w:rsidRPr="00D16825">
              <w:rPr>
                <w:rFonts w:ascii="Times New Roman" w:eastAsia="+mn-ea" w:hAnsi="Times New Roman" w:cs="Times New Roman"/>
                <w:color w:val="000000"/>
                <w:kern w:val="24"/>
                <w:sz w:val="20"/>
                <w:szCs w:val="20"/>
              </w:rPr>
              <w:t>’-ATCTCTGGTTA</w:t>
            </w:r>
            <w:r w:rsidRPr="00D16825">
              <w:rPr>
                <w:rFonts w:ascii="Times New Roman" w:eastAsia="+mn-ea" w:hAnsi="Times New Roman" w:cs="Times New Roman"/>
                <w:color w:val="FF0000"/>
                <w:kern w:val="24"/>
                <w:sz w:val="20"/>
                <w:szCs w:val="20"/>
              </w:rPr>
              <w:t>CAA</w:t>
            </w:r>
            <w:r>
              <w:rPr>
                <w:rFonts w:ascii="Times New Roman" w:eastAsia="+mn-ea" w:hAnsi="Times New Roman" w:cs="Times New Roman"/>
                <w:color w:val="000000"/>
                <w:kern w:val="24"/>
                <w:sz w:val="20"/>
                <w:szCs w:val="20"/>
              </w:rPr>
              <w:t>TTGGAATGG-3</w:t>
            </w:r>
            <w:r w:rsidRPr="00D16825">
              <w:rPr>
                <w:rFonts w:ascii="Times New Roman" w:eastAsia="+mn-ea" w:hAnsi="Times New Roman" w:cs="Times New Roman"/>
                <w:color w:val="000000"/>
                <w:kern w:val="24"/>
                <w:sz w:val="20"/>
                <w:szCs w:val="20"/>
              </w:rPr>
              <w:t>’</w:t>
            </w:r>
          </w:p>
        </w:tc>
        <w:tc>
          <w:tcPr>
            <w:tcW w:w="4688" w:type="dxa"/>
          </w:tcPr>
          <w:p w:rsidR="00C23336" w:rsidRPr="00D16825" w:rsidRDefault="00C23336" w:rsidP="00C659F6">
            <w:pPr>
              <w:rPr>
                <w:rFonts w:ascii="Times New Roman" w:eastAsia="+mn-ea" w:hAnsi="Times New Roman" w:cs="Times New Roman"/>
                <w:color w:val="000000"/>
                <w:kern w:val="24"/>
                <w:sz w:val="20"/>
                <w:szCs w:val="20"/>
              </w:rPr>
            </w:pPr>
            <w:r>
              <w:rPr>
                <w:rFonts w:ascii="Times New Roman" w:eastAsia="+mn-ea" w:hAnsi="Times New Roman" w:cs="Times New Roman"/>
                <w:color w:val="000000"/>
                <w:kern w:val="24"/>
                <w:sz w:val="20"/>
                <w:szCs w:val="20"/>
              </w:rPr>
              <w:t>3</w:t>
            </w:r>
            <w:r w:rsidRPr="00D16825">
              <w:rPr>
                <w:rFonts w:ascii="Times New Roman" w:eastAsia="+mn-ea" w:hAnsi="Times New Roman" w:cs="Times New Roman"/>
                <w:color w:val="000000"/>
                <w:kern w:val="24"/>
                <w:sz w:val="20"/>
                <w:szCs w:val="20"/>
              </w:rPr>
              <w:t>’-CCATTCCAA</w:t>
            </w:r>
            <w:r w:rsidRPr="00D16825">
              <w:rPr>
                <w:rFonts w:ascii="Times New Roman" w:eastAsia="+mn-ea" w:hAnsi="Times New Roman" w:cs="Times New Roman"/>
                <w:color w:val="FF0000"/>
                <w:kern w:val="24"/>
                <w:sz w:val="20"/>
                <w:szCs w:val="20"/>
              </w:rPr>
              <w:t>TTG</w:t>
            </w:r>
            <w:r>
              <w:rPr>
                <w:rFonts w:ascii="Times New Roman" w:eastAsia="+mn-ea" w:hAnsi="Times New Roman" w:cs="Times New Roman"/>
                <w:color w:val="000000"/>
                <w:kern w:val="24"/>
                <w:sz w:val="20"/>
                <w:szCs w:val="20"/>
              </w:rPr>
              <w:t>TAACCAGAGAT-5’</w:t>
            </w:r>
          </w:p>
        </w:tc>
      </w:tr>
      <w:tr w:rsidR="00C23336" w:rsidRPr="00D97EC8" w:rsidTr="00C659F6">
        <w:trPr>
          <w:trHeight w:val="558"/>
        </w:trPr>
        <w:tc>
          <w:tcPr>
            <w:tcW w:w="1075" w:type="dxa"/>
          </w:tcPr>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Edge Primers</w:t>
            </w:r>
          </w:p>
        </w:tc>
        <w:tc>
          <w:tcPr>
            <w:tcW w:w="4500" w:type="dxa"/>
          </w:tcPr>
          <w:p w:rsidR="00C23336" w:rsidRDefault="00C23336" w:rsidP="00C659F6">
            <w:pPr>
              <w:rPr>
                <w:rFonts w:ascii="Times New Roman" w:hAnsi="Times New Roman" w:cs="Times New Roman"/>
                <w:sz w:val="20"/>
                <w:szCs w:val="20"/>
              </w:rPr>
            </w:pPr>
            <w:r w:rsidRPr="004B449E">
              <w:rPr>
                <w:rFonts w:ascii="Times New Roman" w:hAnsi="Times New Roman" w:cs="Times New Roman"/>
                <w:sz w:val="20"/>
                <w:szCs w:val="20"/>
              </w:rPr>
              <w:t>5’-ATGAGACGTTGGACTCTCATGGC-3’</w:t>
            </w:r>
            <w:r>
              <w:rPr>
                <w:rFonts w:ascii="Times New Roman" w:hAnsi="Times New Roman" w:cs="Times New Roman"/>
                <w:sz w:val="20"/>
                <w:szCs w:val="20"/>
              </w:rPr>
              <w:t xml:space="preserve">  </w:t>
            </w:r>
          </w:p>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(A)</w:t>
            </w:r>
          </w:p>
        </w:tc>
        <w:tc>
          <w:tcPr>
            <w:tcW w:w="4688" w:type="dxa"/>
          </w:tcPr>
          <w:p w:rsidR="00C23336" w:rsidRPr="004B449E" w:rsidRDefault="00C23336" w:rsidP="00C659F6">
            <w:pPr>
              <w:rPr>
                <w:rFonts w:ascii="Times New Roman" w:hAnsi="Times New Roman" w:cs="Times New Roman"/>
                <w:sz w:val="20"/>
                <w:szCs w:val="20"/>
              </w:rPr>
            </w:pPr>
            <w:r w:rsidRPr="004B449E">
              <w:rPr>
                <w:rFonts w:ascii="Times New Roman" w:hAnsi="Times New Roman" w:cs="Times New Roman"/>
                <w:sz w:val="20"/>
                <w:szCs w:val="20"/>
              </w:rPr>
              <w:t>3’-TATTTCCTTTGTATTCCTTTTCTC-5’</w:t>
            </w:r>
          </w:p>
          <w:p w:rsidR="00C23336" w:rsidRPr="00D97EC8" w:rsidRDefault="00C23336" w:rsidP="00C659F6">
            <w:pPr>
              <w:rPr>
                <w:rFonts w:ascii="Times New Roman" w:hAnsi="Times New Roman" w:cs="Times New Roman"/>
                <w:sz w:val="20"/>
                <w:szCs w:val="20"/>
              </w:rPr>
            </w:pPr>
            <w:r>
              <w:rPr>
                <w:rFonts w:ascii="Times New Roman" w:hAnsi="Times New Roman" w:cs="Times New Roman"/>
                <w:sz w:val="20"/>
                <w:szCs w:val="20"/>
              </w:rPr>
              <w:t>(D)</w:t>
            </w:r>
          </w:p>
        </w:tc>
      </w:tr>
    </w:tbl>
    <w:p w:rsidR="00C23336" w:rsidRDefault="00C23336" w:rsidP="00C23336">
      <w:pPr>
        <w:rPr>
          <w:rFonts w:ascii="Times New Roman" w:hAnsi="Times New Roman" w:cs="Times New Roman"/>
          <w:sz w:val="24"/>
          <w:szCs w:val="24"/>
        </w:rPr>
      </w:pPr>
    </w:p>
    <w:p w:rsidR="00A63815" w:rsidRPr="00A63815" w:rsidRDefault="00A63815" w:rsidP="00A63815">
      <w:pPr>
        <w:rPr>
          <w:rFonts w:ascii="Times New Roman" w:hAnsi="Times New Roman" w:cs="Times New Roman"/>
          <w:sz w:val="24"/>
          <w:szCs w:val="24"/>
        </w:rPr>
      </w:pPr>
      <w:r>
        <w:rPr>
          <w:rFonts w:ascii="Times New Roman" w:hAnsi="Times New Roman" w:cs="Times New Roman"/>
          <w:sz w:val="24"/>
          <w:szCs w:val="24"/>
        </w:rPr>
        <w:tab/>
      </w:r>
      <w:r w:rsidR="002A6E64">
        <w:rPr>
          <w:rFonts w:ascii="Times New Roman" w:hAnsi="Times New Roman" w:cs="Times New Roman"/>
          <w:sz w:val="24"/>
          <w:szCs w:val="24"/>
        </w:rPr>
        <w:t>12</w:t>
      </w:r>
      <w:r>
        <w:rPr>
          <w:rFonts w:ascii="Times New Roman" w:hAnsi="Times New Roman" w:cs="Times New Roman"/>
          <w:sz w:val="24"/>
          <w:szCs w:val="24"/>
        </w:rPr>
        <w:t xml:space="preserve"> copies of each wild-type and mutant receptor must be made so that they can undergo 3 tri</w:t>
      </w:r>
      <w:r w:rsidR="002A6E64">
        <w:rPr>
          <w:rFonts w:ascii="Times New Roman" w:hAnsi="Times New Roman" w:cs="Times New Roman"/>
          <w:sz w:val="24"/>
          <w:szCs w:val="24"/>
        </w:rPr>
        <w:t>als of exposure to each of the 4</w:t>
      </w:r>
      <w:r>
        <w:rPr>
          <w:rFonts w:ascii="Times New Roman" w:hAnsi="Times New Roman" w:cs="Times New Roman"/>
          <w:sz w:val="24"/>
          <w:szCs w:val="24"/>
        </w:rPr>
        <w:t xml:space="preserve"> agonists.   </w:t>
      </w:r>
    </w:p>
    <w:p w:rsidR="00C23336" w:rsidRPr="00840EAC" w:rsidRDefault="00C23336" w:rsidP="00C23336">
      <w:pPr>
        <w:pStyle w:val="ListParagraph"/>
        <w:numPr>
          <w:ilvl w:val="2"/>
          <w:numId w:val="3"/>
        </w:numPr>
        <w:ind w:left="1746"/>
        <w:rPr>
          <w:rFonts w:ascii="Times New Roman" w:hAnsi="Times New Roman" w:cs="Times New Roman"/>
          <w:sz w:val="24"/>
          <w:szCs w:val="24"/>
        </w:rPr>
      </w:pPr>
      <w:r>
        <w:rPr>
          <w:rFonts w:ascii="Times New Roman" w:hAnsi="Times New Roman" w:cs="Times New Roman"/>
          <w:sz w:val="24"/>
          <w:szCs w:val="24"/>
        </w:rPr>
        <w:lastRenderedPageBreak/>
        <w:t xml:space="preserve">To induce mutation 2 standard primers that contain the start and end of the gene (A and D) will be needed to isolate the target sequence.  Primers B and C contain the specific mutation that we will be inserting into the sequence. </w:t>
      </w:r>
    </w:p>
    <w:p w:rsidR="00C23336" w:rsidRDefault="00C23336" w:rsidP="00C23336">
      <w:pPr>
        <w:pStyle w:val="ListParagraph"/>
        <w:numPr>
          <w:ilvl w:val="6"/>
          <w:numId w:val="3"/>
        </w:numPr>
        <w:rPr>
          <w:rFonts w:ascii="Times New Roman" w:hAnsi="Times New Roman" w:cs="Times New Roman"/>
          <w:sz w:val="24"/>
          <w:szCs w:val="24"/>
        </w:rPr>
      </w:pPr>
      <w:r>
        <w:rPr>
          <w:rFonts w:ascii="Times New Roman" w:hAnsi="Times New Roman" w:cs="Times New Roman"/>
          <w:sz w:val="24"/>
          <w:szCs w:val="24"/>
        </w:rPr>
        <w:t>A 50 µl solution will be prepared with:</w:t>
      </w:r>
    </w:p>
    <w:p w:rsidR="00C23336" w:rsidRDefault="00C23336" w:rsidP="00C23336">
      <w:pPr>
        <w:pStyle w:val="ListParagraph"/>
        <w:numPr>
          <w:ilvl w:val="7"/>
          <w:numId w:val="3"/>
        </w:numPr>
        <w:rPr>
          <w:rFonts w:ascii="Times New Roman" w:hAnsi="Times New Roman" w:cs="Times New Roman"/>
          <w:sz w:val="24"/>
          <w:szCs w:val="24"/>
        </w:rPr>
      </w:pPr>
      <w:r>
        <w:rPr>
          <w:rFonts w:ascii="Times New Roman" w:hAnsi="Times New Roman" w:cs="Times New Roman"/>
          <w:sz w:val="24"/>
          <w:szCs w:val="24"/>
        </w:rPr>
        <w:t>0.3 µM of all 4 primers</w:t>
      </w:r>
    </w:p>
    <w:p w:rsidR="00C23336" w:rsidRDefault="00C23336" w:rsidP="00C23336">
      <w:pPr>
        <w:pStyle w:val="ListParagraph"/>
        <w:numPr>
          <w:ilvl w:val="7"/>
          <w:numId w:val="3"/>
        </w:numPr>
        <w:rPr>
          <w:rFonts w:ascii="Times New Roman" w:hAnsi="Times New Roman" w:cs="Times New Roman"/>
          <w:sz w:val="24"/>
          <w:szCs w:val="24"/>
        </w:rPr>
      </w:pPr>
      <w:r w:rsidRPr="00D97EC8">
        <w:rPr>
          <w:noProof/>
        </w:rPr>
        <w:drawing>
          <wp:anchor distT="0" distB="0" distL="114300" distR="114300" simplePos="0" relativeHeight="251687936" behindDoc="1" locked="0" layoutInCell="1" allowOverlap="1" wp14:anchorId="313AA756" wp14:editId="32326EFA">
            <wp:simplePos x="0" y="0"/>
            <wp:positionH relativeFrom="margin">
              <wp:posOffset>-635</wp:posOffset>
            </wp:positionH>
            <wp:positionV relativeFrom="margin">
              <wp:posOffset>1121410</wp:posOffset>
            </wp:positionV>
            <wp:extent cx="2441575" cy="3344545"/>
            <wp:effectExtent l="0" t="0" r="0" b="8255"/>
            <wp:wrapSquare wrapText="bothSides"/>
            <wp:docPr id="5" name="Picture 5" descr="http://www.idtdna.com/pages/images/default-source/Appln-Guides---Mutagenesis/fig2a-b.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tdna.com/pages/images/default-source/Appln-Guides---Mutagenesis/fig2a-b.jpg?sfvrsn=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9" t="11628" r="57812" b="15755"/>
                    <a:stretch/>
                  </pic:blipFill>
                  <pic:spPr bwMode="auto">
                    <a:xfrm>
                      <a:off x="0" y="0"/>
                      <a:ext cx="2441575" cy="334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0.4 mM dNTP mixture </w:t>
      </w:r>
    </w:p>
    <w:p w:rsidR="00C23336" w:rsidRDefault="00C23336" w:rsidP="00C23336">
      <w:pPr>
        <w:pStyle w:val="ListParagraph"/>
        <w:numPr>
          <w:ilvl w:val="7"/>
          <w:numId w:val="3"/>
        </w:numPr>
        <w:rPr>
          <w:rFonts w:ascii="Times New Roman" w:hAnsi="Times New Roman" w:cs="Times New Roman"/>
          <w:sz w:val="24"/>
          <w:szCs w:val="24"/>
        </w:rPr>
      </w:pPr>
      <w:r>
        <w:rPr>
          <w:rFonts w:ascii="Times New Roman" w:hAnsi="Times New Roman" w:cs="Times New Roman"/>
          <w:sz w:val="24"/>
          <w:szCs w:val="24"/>
        </w:rPr>
        <w:t>100 ng of pMT3-a7 as template</w:t>
      </w:r>
    </w:p>
    <w:p w:rsidR="00C23336" w:rsidRDefault="00C23336" w:rsidP="00C23336">
      <w:pPr>
        <w:pStyle w:val="ListParagraph"/>
        <w:numPr>
          <w:ilvl w:val="7"/>
          <w:numId w:val="3"/>
        </w:numPr>
        <w:rPr>
          <w:rFonts w:ascii="Times New Roman" w:hAnsi="Times New Roman" w:cs="Times New Roman"/>
          <w:sz w:val="24"/>
          <w:szCs w:val="24"/>
        </w:rPr>
      </w:pPr>
      <w:r>
        <w:rPr>
          <w:rFonts w:ascii="Times New Roman" w:hAnsi="Times New Roman" w:cs="Times New Roman"/>
          <w:sz w:val="24"/>
          <w:szCs w:val="24"/>
        </w:rPr>
        <w:t>1.25 U of LA-Taq</w:t>
      </w:r>
    </w:p>
    <w:p w:rsidR="00C23336" w:rsidRDefault="00C23336" w:rsidP="00C23336">
      <w:pPr>
        <w:pStyle w:val="ListParagraph"/>
        <w:numPr>
          <w:ilvl w:val="6"/>
          <w:numId w:val="3"/>
        </w:numPr>
        <w:rPr>
          <w:rFonts w:ascii="Times New Roman" w:hAnsi="Times New Roman" w:cs="Times New Roman"/>
          <w:sz w:val="24"/>
          <w:szCs w:val="24"/>
        </w:rPr>
      </w:pPr>
      <w:r w:rsidRPr="00140784">
        <w:rPr>
          <w:rFonts w:ascii="Times New Roman" w:hAnsi="Times New Roman" w:cs="Times New Roman"/>
          <w:sz w:val="24"/>
          <w:szCs w:val="24"/>
        </w:rPr>
        <w:t xml:space="preserve">Once prepared, the solution must now undergo </w:t>
      </w:r>
      <w:r w:rsidRPr="00140784">
        <w:rPr>
          <w:rFonts w:ascii="Times New Roman" w:hAnsi="Times New Roman" w:cs="Times New Roman"/>
          <w:color w:val="000000"/>
          <w:sz w:val="24"/>
          <w:szCs w:val="24"/>
          <w:shd w:val="clear" w:color="auto" w:fill="FFFFFF"/>
        </w:rPr>
        <w:t>30 cycles of</w:t>
      </w:r>
      <w:r>
        <w:rPr>
          <w:rFonts w:ascii="Times New Roman" w:hAnsi="Times New Roman" w:cs="Times New Roman"/>
          <w:color w:val="000000"/>
          <w:sz w:val="24"/>
          <w:szCs w:val="24"/>
          <w:shd w:val="clear" w:color="auto" w:fill="FFFFFF"/>
        </w:rPr>
        <w:t xml:space="preserve"> treatment at</w:t>
      </w:r>
      <w:r w:rsidRPr="00140784">
        <w:rPr>
          <w:rFonts w:ascii="Times New Roman" w:hAnsi="Times New Roman" w:cs="Times New Roman"/>
          <w:color w:val="000000"/>
          <w:sz w:val="24"/>
          <w:szCs w:val="24"/>
          <w:shd w:val="clear" w:color="auto" w:fill="FFFFFF"/>
        </w:rPr>
        <w:t xml:space="preserve"> 98°C 30 s, 50°C 30 s, 72°C 60 s</w:t>
      </w:r>
      <w:r>
        <w:rPr>
          <w:rFonts w:ascii="Times New Roman" w:hAnsi="Times New Roman" w:cs="Times New Roman"/>
          <w:sz w:val="24"/>
          <w:szCs w:val="24"/>
        </w:rPr>
        <w:t>. The solution contains the AB and CD strands of DNA.</w:t>
      </w:r>
    </w:p>
    <w:p w:rsidR="00C23336" w:rsidRPr="00E66869" w:rsidRDefault="00C23336" w:rsidP="00C23336">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2</w:t>
      </w:r>
      <w:r w:rsidRPr="00E66869">
        <w:rPr>
          <w:rFonts w:ascii="Times New Roman" w:hAnsi="Times New Roman" w:cs="Times New Roman"/>
          <w:sz w:val="24"/>
          <w:szCs w:val="24"/>
          <w:vertAlign w:val="superscript"/>
        </w:rPr>
        <w:t>nd</w:t>
      </w:r>
      <w:r>
        <w:rPr>
          <w:rFonts w:ascii="Times New Roman" w:hAnsi="Times New Roman" w:cs="Times New Roman"/>
          <w:sz w:val="24"/>
          <w:szCs w:val="24"/>
        </w:rPr>
        <w:t xml:space="preserve"> round of PCR:</w:t>
      </w:r>
    </w:p>
    <w:p w:rsidR="00C23336" w:rsidRDefault="00C23336" w:rsidP="00C23336">
      <w:pPr>
        <w:pStyle w:val="ListParagraph"/>
        <w:numPr>
          <w:ilvl w:val="6"/>
          <w:numId w:val="8"/>
        </w:numPr>
        <w:rPr>
          <w:rFonts w:ascii="Times New Roman" w:hAnsi="Times New Roman" w:cs="Times New Roman"/>
          <w:sz w:val="24"/>
          <w:szCs w:val="24"/>
        </w:rPr>
      </w:pPr>
      <w:r>
        <w:rPr>
          <w:rFonts w:ascii="Times New Roman" w:hAnsi="Times New Roman" w:cs="Times New Roman"/>
          <w:sz w:val="24"/>
          <w:szCs w:val="24"/>
        </w:rPr>
        <w:t>Another 50 µl solution will be prepared with:</w:t>
      </w:r>
    </w:p>
    <w:p w:rsidR="00C23336" w:rsidRDefault="00C23336" w:rsidP="00C23336">
      <w:pPr>
        <w:pStyle w:val="ListParagraph"/>
        <w:numPr>
          <w:ilvl w:val="7"/>
          <w:numId w:val="8"/>
        </w:numPr>
        <w:rPr>
          <w:rFonts w:ascii="Times New Roman" w:hAnsi="Times New Roman" w:cs="Times New Roman"/>
          <w:sz w:val="24"/>
          <w:szCs w:val="24"/>
        </w:rPr>
      </w:pPr>
      <w:r>
        <w:rPr>
          <w:rFonts w:ascii="Times New Roman" w:hAnsi="Times New Roman" w:cs="Times New Roman"/>
          <w:sz w:val="24"/>
          <w:szCs w:val="24"/>
        </w:rPr>
        <w:t>0.3 µM of the edge primers (A and D)</w:t>
      </w:r>
    </w:p>
    <w:p w:rsidR="00C23336" w:rsidRDefault="00C23336" w:rsidP="00C23336">
      <w:pPr>
        <w:pStyle w:val="ListParagraph"/>
        <w:numPr>
          <w:ilvl w:val="7"/>
          <w:numId w:val="8"/>
        </w:numPr>
        <w:rPr>
          <w:rFonts w:ascii="Times New Roman" w:hAnsi="Times New Roman" w:cs="Times New Roman"/>
          <w:sz w:val="24"/>
          <w:szCs w:val="24"/>
        </w:rPr>
      </w:pPr>
      <w:r>
        <w:rPr>
          <w:rFonts w:ascii="Times New Roman" w:hAnsi="Times New Roman" w:cs="Times New Roman"/>
          <w:sz w:val="24"/>
          <w:szCs w:val="24"/>
        </w:rPr>
        <w:t>20 ng each of the first round PCR products (AB and CD)</w:t>
      </w:r>
    </w:p>
    <w:p w:rsidR="00C23336" w:rsidRDefault="00C23336" w:rsidP="00C23336">
      <w:pPr>
        <w:pStyle w:val="ListParagraph"/>
        <w:numPr>
          <w:ilvl w:val="7"/>
          <w:numId w:val="8"/>
        </w:numPr>
        <w:rPr>
          <w:rFonts w:ascii="Times New Roman" w:hAnsi="Times New Roman" w:cs="Times New Roman"/>
          <w:sz w:val="24"/>
          <w:szCs w:val="24"/>
        </w:rPr>
      </w:pPr>
      <w:r>
        <w:rPr>
          <w:rFonts w:ascii="Times New Roman" w:hAnsi="Times New Roman" w:cs="Times New Roman"/>
          <w:sz w:val="24"/>
          <w:szCs w:val="24"/>
        </w:rPr>
        <w:t>1.25 U of LA-Taq</w:t>
      </w:r>
    </w:p>
    <w:p w:rsidR="00C23336" w:rsidRPr="00B2188F" w:rsidRDefault="00C23336" w:rsidP="00C23336">
      <w:pPr>
        <w:pStyle w:val="ListParagraph"/>
        <w:numPr>
          <w:ilvl w:val="6"/>
          <w:numId w:val="8"/>
        </w:numPr>
        <w:rPr>
          <w:rFonts w:ascii="Times New Roman" w:hAnsi="Times New Roman" w:cs="Times New Roman"/>
          <w:sz w:val="24"/>
          <w:szCs w:val="24"/>
        </w:rPr>
      </w:pPr>
      <w:r w:rsidRPr="00140784">
        <w:rPr>
          <w:rFonts w:ascii="Times New Roman" w:hAnsi="Times New Roman" w:cs="Times New Roman"/>
          <w:sz w:val="24"/>
          <w:szCs w:val="24"/>
        </w:rPr>
        <w:t xml:space="preserve">Once prepared, the solution must now undergo </w:t>
      </w:r>
      <w:r w:rsidRPr="00140784">
        <w:rPr>
          <w:rFonts w:ascii="Times New Roman" w:hAnsi="Times New Roman" w:cs="Times New Roman"/>
          <w:color w:val="000000"/>
          <w:sz w:val="24"/>
          <w:szCs w:val="24"/>
          <w:shd w:val="clear" w:color="auto" w:fill="FFFFFF"/>
        </w:rPr>
        <w:t>30 cycles of treatment at 98°C 30 s, 60°C 30 s, 72°C 90 s</w:t>
      </w:r>
      <w:r>
        <w:rPr>
          <w:rFonts w:ascii="Times New Roman" w:hAnsi="Times New Roman" w:cs="Times New Roman"/>
          <w:color w:val="000000"/>
          <w:sz w:val="24"/>
          <w:szCs w:val="24"/>
          <w:shd w:val="clear" w:color="auto" w:fill="FFFFFF"/>
        </w:rPr>
        <w:t xml:space="preserve"> to yield a single strand that contains the desired mutation.</w:t>
      </w:r>
    </w:p>
    <w:p w:rsidR="00C23336" w:rsidRPr="00D97EC8" w:rsidRDefault="00C23336" w:rsidP="00C23336">
      <w:pPr>
        <w:pStyle w:val="ListParagraph"/>
        <w:numPr>
          <w:ilvl w:val="1"/>
          <w:numId w:val="8"/>
        </w:numPr>
        <w:rPr>
          <w:rFonts w:ascii="Times New Roman" w:hAnsi="Times New Roman" w:cs="Times New Roman"/>
          <w:sz w:val="24"/>
          <w:szCs w:val="24"/>
        </w:rPr>
      </w:pPr>
      <w:r w:rsidRPr="00D97EC8">
        <w:rPr>
          <w:rFonts w:ascii="Times New Roman" w:hAnsi="Times New Roman" w:cs="Times New Roman"/>
          <w:sz w:val="24"/>
          <w:szCs w:val="24"/>
        </w:rPr>
        <w:t xml:space="preserve">Nuclear Injection of Oocytes (Shimomura et al, 2002) (Ihara et al, 2002) </w:t>
      </w:r>
    </w:p>
    <w:p w:rsidR="00C23336" w:rsidRPr="00D97EC8" w:rsidRDefault="00C23336" w:rsidP="00C23336">
      <w:pPr>
        <w:pStyle w:val="ListParagraph"/>
        <w:numPr>
          <w:ilvl w:val="2"/>
          <w:numId w:val="8"/>
        </w:numPr>
        <w:rPr>
          <w:rFonts w:ascii="Times New Roman" w:hAnsi="Times New Roman" w:cs="Times New Roman"/>
          <w:sz w:val="24"/>
          <w:szCs w:val="24"/>
        </w:rPr>
      </w:pPr>
      <w:r w:rsidRPr="00D97EC8">
        <w:rPr>
          <w:rFonts w:ascii="Times New Roman" w:hAnsi="Times New Roman" w:cs="Times New Roman"/>
          <w:sz w:val="24"/>
          <w:szCs w:val="24"/>
        </w:rPr>
        <w:t>Mature Xenopus Laevis Females will be anaesthetized by immersion in 1.5g I</w:t>
      </w:r>
      <w:r w:rsidRPr="00D97EC8">
        <w:rPr>
          <w:rFonts w:ascii="Times New Roman" w:hAnsi="Times New Roman" w:cs="Times New Roman"/>
          <w:sz w:val="24"/>
          <w:szCs w:val="24"/>
          <w:vertAlign w:val="superscript"/>
        </w:rPr>
        <w:t>-1</w:t>
      </w:r>
      <w:r w:rsidRPr="00D97EC8">
        <w:rPr>
          <w:rFonts w:ascii="Times New Roman" w:hAnsi="Times New Roman" w:cs="Times New Roman"/>
          <w:sz w:val="24"/>
          <w:szCs w:val="24"/>
        </w:rPr>
        <w:t xml:space="preserve"> tricaine for 30 minutes.  Afterwards they will be cut open and larger Oocytes (stage IV and V) will be removed.</w:t>
      </w:r>
    </w:p>
    <w:p w:rsidR="00C23336" w:rsidRPr="00D97EC8" w:rsidRDefault="00C23336" w:rsidP="00C23336">
      <w:pPr>
        <w:pStyle w:val="ListParagraph"/>
        <w:numPr>
          <w:ilvl w:val="2"/>
          <w:numId w:val="8"/>
        </w:numPr>
        <w:rPr>
          <w:rFonts w:ascii="Times New Roman" w:hAnsi="Times New Roman" w:cs="Times New Roman"/>
          <w:sz w:val="24"/>
          <w:szCs w:val="24"/>
        </w:rPr>
      </w:pPr>
      <w:r w:rsidRPr="00D97EC8">
        <w:rPr>
          <w:rFonts w:ascii="Times New Roman" w:hAnsi="Times New Roman" w:cs="Times New Roman"/>
          <w:sz w:val="24"/>
          <w:szCs w:val="24"/>
        </w:rPr>
        <w:t>Follicle cell layer of each Oocyte must be removed manually by fine forceps</w:t>
      </w:r>
    </w:p>
    <w:p w:rsidR="00C23336" w:rsidRPr="00C23336" w:rsidRDefault="00C23336" w:rsidP="00C23336">
      <w:pPr>
        <w:pStyle w:val="ListParagraph"/>
        <w:numPr>
          <w:ilvl w:val="2"/>
          <w:numId w:val="8"/>
        </w:numPr>
        <w:rPr>
          <w:rFonts w:ascii="Times New Roman" w:hAnsi="Times New Roman" w:cs="Times New Roman"/>
          <w:sz w:val="24"/>
          <w:szCs w:val="24"/>
        </w:rPr>
      </w:pPr>
      <w:r w:rsidRPr="00D97EC8">
        <w:rPr>
          <w:rFonts w:ascii="Times New Roman" w:hAnsi="Times New Roman" w:cs="Times New Roman"/>
          <w:sz w:val="24"/>
          <w:szCs w:val="24"/>
        </w:rPr>
        <w:t>The nucleus of each Oocyte will be injected with 20 nL of a single form of mutant DNA submersed in distilled water</w:t>
      </w:r>
      <w:r>
        <w:rPr>
          <w:rFonts w:ascii="Times New Roman" w:hAnsi="Times New Roman" w:cs="Times New Roman"/>
          <w:sz w:val="24"/>
          <w:szCs w:val="24"/>
        </w:rPr>
        <w:t>, they</w:t>
      </w:r>
      <w:r w:rsidRPr="00D97EC8">
        <w:rPr>
          <w:rFonts w:ascii="Times New Roman" w:hAnsi="Times New Roman" w:cs="Times New Roman"/>
          <w:sz w:val="24"/>
          <w:szCs w:val="24"/>
        </w:rPr>
        <w:t xml:space="preserve"> will then be incubated at 1</w:t>
      </w:r>
      <w:r w:rsidRPr="00D97EC8">
        <w:rPr>
          <w:rFonts w:ascii="Times New Roman" w:hAnsi="Times New Roman" w:cs="Times New Roman"/>
          <w:color w:val="000000"/>
          <w:sz w:val="24"/>
          <w:szCs w:val="24"/>
          <w:shd w:val="clear" w:color="auto" w:fill="FFFFFF"/>
        </w:rPr>
        <w:t xml:space="preserve">6°C in saline solution.  </w:t>
      </w:r>
    </w:p>
    <w:p w:rsidR="00C23336" w:rsidRDefault="00C23336" w:rsidP="00C23336">
      <w:pPr>
        <w:rPr>
          <w:rFonts w:ascii="Times New Roman" w:hAnsi="Times New Roman" w:cs="Times New Roman"/>
          <w:sz w:val="24"/>
          <w:szCs w:val="24"/>
        </w:rPr>
      </w:pPr>
    </w:p>
    <w:p w:rsidR="00C23336" w:rsidRDefault="00C23336" w:rsidP="00C23336">
      <w:pPr>
        <w:rPr>
          <w:rFonts w:ascii="Times New Roman" w:hAnsi="Times New Roman" w:cs="Times New Roman"/>
          <w:sz w:val="24"/>
          <w:szCs w:val="24"/>
        </w:rPr>
      </w:pPr>
    </w:p>
    <w:p w:rsidR="00C23336" w:rsidRDefault="00C23336" w:rsidP="00C23336">
      <w:pPr>
        <w:rPr>
          <w:rFonts w:ascii="Times New Roman" w:hAnsi="Times New Roman" w:cs="Times New Roman"/>
          <w:sz w:val="24"/>
          <w:szCs w:val="24"/>
        </w:rPr>
      </w:pPr>
    </w:p>
    <w:p w:rsidR="00C23336" w:rsidRDefault="00C23336" w:rsidP="00C23336">
      <w:pPr>
        <w:rPr>
          <w:rFonts w:ascii="Times New Roman" w:hAnsi="Times New Roman" w:cs="Times New Roman"/>
          <w:sz w:val="24"/>
          <w:szCs w:val="24"/>
        </w:rPr>
      </w:pPr>
    </w:p>
    <w:p w:rsidR="00C23336" w:rsidRDefault="00C23336" w:rsidP="00C23336">
      <w:pPr>
        <w:rPr>
          <w:rFonts w:ascii="Times New Roman" w:hAnsi="Times New Roman" w:cs="Times New Roman"/>
          <w:sz w:val="24"/>
          <w:szCs w:val="24"/>
        </w:rPr>
      </w:pPr>
    </w:p>
    <w:p w:rsidR="00C23336" w:rsidRPr="00C23336" w:rsidRDefault="00C23336" w:rsidP="00C23336">
      <w:pPr>
        <w:rPr>
          <w:rFonts w:ascii="Times New Roman" w:hAnsi="Times New Roman" w:cs="Times New Roman"/>
          <w:sz w:val="24"/>
          <w:szCs w:val="24"/>
        </w:rPr>
      </w:pPr>
    </w:p>
    <w:p w:rsidR="00C23336" w:rsidRPr="00D97EC8" w:rsidRDefault="00C23336" w:rsidP="00C23336">
      <w:pPr>
        <w:pStyle w:val="ListParagraph"/>
        <w:numPr>
          <w:ilvl w:val="1"/>
          <w:numId w:val="8"/>
        </w:numPr>
        <w:rPr>
          <w:rFonts w:ascii="Times New Roman" w:hAnsi="Times New Roman" w:cs="Times New Roman"/>
          <w:sz w:val="24"/>
          <w:szCs w:val="24"/>
        </w:rPr>
      </w:pPr>
      <w:bookmarkStart w:id="0" w:name="_GoBack"/>
      <w:bookmarkEnd w:id="0"/>
      <w:r w:rsidRPr="00D97EC8">
        <w:rPr>
          <w:rFonts w:ascii="Times New Roman" w:hAnsi="Times New Roman" w:cs="Times New Roman"/>
          <w:sz w:val="24"/>
          <w:szCs w:val="24"/>
        </w:rPr>
        <w:lastRenderedPageBreak/>
        <w:t xml:space="preserve">Voltage Clamp Electrophysiology (Ihara et al, 2002) </w:t>
      </w:r>
      <w:r>
        <w:rPr>
          <w:rFonts w:ascii="Times New Roman" w:hAnsi="Times New Roman" w:cs="Times New Roman"/>
          <w:sz w:val="24"/>
          <w:szCs w:val="24"/>
        </w:rPr>
        <w:t>(Shimomura et al, 2002)</w:t>
      </w:r>
    </w:p>
    <w:p w:rsidR="00C23336" w:rsidRPr="00D97EC8" w:rsidRDefault="00C23336" w:rsidP="00C23336">
      <w:pPr>
        <w:pStyle w:val="ListParagraph"/>
        <w:numPr>
          <w:ilvl w:val="2"/>
          <w:numId w:val="8"/>
        </w:numPr>
        <w:rPr>
          <w:rFonts w:ascii="Times New Roman" w:hAnsi="Times New Roman" w:cs="Times New Roman"/>
          <w:sz w:val="24"/>
          <w:szCs w:val="24"/>
        </w:rPr>
      </w:pPr>
      <w:r w:rsidRPr="00D97EC8">
        <w:rPr>
          <w:rFonts w:ascii="Times New Roman" w:hAnsi="Times New Roman" w:cs="Times New Roman"/>
          <w:noProof/>
          <w:sz w:val="24"/>
          <w:szCs w:val="24"/>
        </w:rPr>
        <w:drawing>
          <wp:anchor distT="0" distB="0" distL="114300" distR="114300" simplePos="0" relativeHeight="251688960" behindDoc="1" locked="0" layoutInCell="1" allowOverlap="1" wp14:anchorId="7055D6DF" wp14:editId="28211429">
            <wp:simplePos x="0" y="0"/>
            <wp:positionH relativeFrom="column">
              <wp:posOffset>3018155</wp:posOffset>
            </wp:positionH>
            <wp:positionV relativeFrom="paragraph">
              <wp:posOffset>130175</wp:posOffset>
            </wp:positionV>
            <wp:extent cx="3585210" cy="2644775"/>
            <wp:effectExtent l="0" t="0" r="0" b="3175"/>
            <wp:wrapTight wrapText="bothSides">
              <wp:wrapPolygon edited="0">
                <wp:start x="0" y="0"/>
                <wp:lineTo x="0" y="21470"/>
                <wp:lineTo x="21462" y="21470"/>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8).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3585210" cy="264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7EC8">
        <w:rPr>
          <w:rFonts w:ascii="Times New Roman" w:hAnsi="Times New Roman" w:cs="Times New Roman"/>
          <w:sz w:val="24"/>
          <w:szCs w:val="24"/>
        </w:rPr>
        <w:t>Electrophysiology will be performed after 3-6 days of incubation.</w:t>
      </w:r>
    </w:p>
    <w:p w:rsidR="00C23336" w:rsidRPr="00D97EC8" w:rsidRDefault="00C23336" w:rsidP="00C2333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2 2.0 M KCl-filled electrodes</w:t>
      </w:r>
      <w:r w:rsidRPr="00D97EC8">
        <w:rPr>
          <w:rFonts w:ascii="Times New Roman" w:hAnsi="Times New Roman" w:cs="Times New Roman"/>
          <w:sz w:val="24"/>
          <w:szCs w:val="24"/>
        </w:rPr>
        <w:t xml:space="preserve"> will be attached to form a series current. A constant voltage will be maintained </w:t>
      </w:r>
      <w:r>
        <w:rPr>
          <w:rFonts w:ascii="Times New Roman" w:hAnsi="Times New Roman" w:cs="Times New Roman"/>
          <w:sz w:val="24"/>
          <w:szCs w:val="24"/>
        </w:rPr>
        <w:t>at -100mV through one clamp attached to a Geneclamp 500.</w:t>
      </w:r>
    </w:p>
    <w:p w:rsidR="00C23336" w:rsidRPr="00D97EC8" w:rsidRDefault="00C23336" w:rsidP="00C2333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.3 M </w:t>
      </w:r>
      <w:r w:rsidRPr="00D97EC8">
        <w:rPr>
          <w:rFonts w:ascii="Times New Roman" w:hAnsi="Times New Roman" w:cs="Times New Roman"/>
          <w:sz w:val="24"/>
          <w:szCs w:val="24"/>
        </w:rPr>
        <w:t xml:space="preserve">Solutions of </w:t>
      </w:r>
      <w:r>
        <w:rPr>
          <w:rFonts w:ascii="Times New Roman" w:hAnsi="Times New Roman" w:cs="Times New Roman"/>
          <w:sz w:val="24"/>
          <w:szCs w:val="24"/>
        </w:rPr>
        <w:t xml:space="preserve">Ligands will be prepared using Acetylcholine, Nicotine </w:t>
      </w:r>
      <w:r w:rsidRPr="00D97EC8">
        <w:rPr>
          <w:rFonts w:ascii="Times New Roman" w:hAnsi="Times New Roman" w:cs="Times New Roman"/>
          <w:sz w:val="24"/>
          <w:szCs w:val="24"/>
        </w:rPr>
        <w:t>(control), Imidacloprid, and Acetamiprid</w:t>
      </w:r>
      <w:r>
        <w:rPr>
          <w:rFonts w:ascii="Times New Roman" w:hAnsi="Times New Roman" w:cs="Times New Roman"/>
          <w:sz w:val="24"/>
          <w:szCs w:val="24"/>
        </w:rPr>
        <w:t>.</w:t>
      </w:r>
    </w:p>
    <w:p w:rsidR="00C23336" w:rsidRPr="00B561D8" w:rsidRDefault="00C23336" w:rsidP="00C2333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Oocytes will be submerged in a single ligand solution for no longer than 2 seconds.  Changes in voltage will be measured over the next ~5 minutes, until the measured voltage returns to -100mV.</w:t>
      </w:r>
    </w:p>
    <w:p w:rsidR="00C23336" w:rsidRDefault="00C23336" w:rsidP="00C233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Data Analysis (Shimomura et al, 2002)</w:t>
      </w:r>
    </w:p>
    <w:p w:rsidR="00C23336" w:rsidRPr="00A03BAC" w:rsidRDefault="00C23336" w:rsidP="00C23336">
      <w:pPr>
        <w:pStyle w:val="ListParagraph"/>
        <w:numPr>
          <w:ilvl w:val="2"/>
          <w:numId w:val="8"/>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1" locked="0" layoutInCell="1" allowOverlap="1" wp14:anchorId="180F3925" wp14:editId="1B100886">
            <wp:simplePos x="0" y="0"/>
            <wp:positionH relativeFrom="margin">
              <wp:align>center</wp:align>
            </wp:positionH>
            <wp:positionV relativeFrom="paragraph">
              <wp:posOffset>417830</wp:posOffset>
            </wp:positionV>
            <wp:extent cx="3947160" cy="260350"/>
            <wp:effectExtent l="0" t="0" r="0" b="6350"/>
            <wp:wrapTight wrapText="bothSides">
              <wp:wrapPolygon edited="0">
                <wp:start x="0" y="0"/>
                <wp:lineTo x="0" y="20546"/>
                <wp:lineTo x="21475" y="20546"/>
                <wp:lineTo x="214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ph_162_m1.gif"/>
                    <pic:cNvPicPr/>
                  </pic:nvPicPr>
                  <pic:blipFill rotWithShape="1">
                    <a:blip r:embed="rId13">
                      <a:extLst>
                        <a:ext uri="{28A0092B-C50C-407E-A947-70E740481C1C}">
                          <a14:useLocalDpi xmlns:a14="http://schemas.microsoft.com/office/drawing/2010/main" val="0"/>
                        </a:ext>
                      </a:extLst>
                    </a:blip>
                    <a:srcRect r="7678" b="-5465"/>
                    <a:stretch/>
                  </pic:blipFill>
                  <pic:spPr bwMode="auto">
                    <a:xfrm>
                      <a:off x="0" y="0"/>
                      <a:ext cx="394716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The concentration of agonist that gives half the normalized response (EC</w:t>
      </w:r>
      <w:r>
        <w:rPr>
          <w:rFonts w:ascii="Times New Roman" w:hAnsi="Times New Roman" w:cs="Times New Roman"/>
          <w:sz w:val="24"/>
          <w:szCs w:val="24"/>
          <w:vertAlign w:val="subscript"/>
        </w:rPr>
        <w:t>50</w:t>
      </w:r>
      <w:r>
        <w:rPr>
          <w:rFonts w:ascii="Times New Roman" w:hAnsi="Times New Roman" w:cs="Times New Roman"/>
          <w:sz w:val="24"/>
          <w:szCs w:val="24"/>
        </w:rPr>
        <w:t>) will be calculated using this equation:</w:t>
      </w:r>
    </w:p>
    <w:p w:rsidR="00C23336" w:rsidRDefault="00C23336" w:rsidP="00C23336">
      <w:pPr>
        <w:ind w:left="1980"/>
        <w:rPr>
          <w:rFonts w:ascii="Times New Roman" w:hAnsi="Times New Roman" w:cs="Times New Roman"/>
          <w:sz w:val="24"/>
          <w:szCs w:val="24"/>
        </w:rPr>
      </w:pPr>
    </w:p>
    <w:p w:rsidR="00C23336" w:rsidRDefault="00C23336" w:rsidP="00C23336">
      <w:pPr>
        <w:ind w:left="1440"/>
        <w:rPr>
          <w:rFonts w:ascii="Times New Roman" w:hAnsi="Times New Roman" w:cs="Times New Roman"/>
          <w:sz w:val="24"/>
          <w:szCs w:val="24"/>
        </w:rPr>
      </w:pPr>
      <w:r>
        <w:rPr>
          <w:rFonts w:ascii="Times New Roman" w:hAnsi="Times New Roman" w:cs="Times New Roman"/>
          <w:sz w:val="24"/>
          <w:szCs w:val="24"/>
        </w:rPr>
        <w:t>Ψ is the normalized response of the receptor to ligand concentration [A], I</w:t>
      </w:r>
      <w:r>
        <w:rPr>
          <w:rFonts w:ascii="Times New Roman" w:hAnsi="Times New Roman" w:cs="Times New Roman"/>
          <w:sz w:val="24"/>
          <w:szCs w:val="24"/>
          <w:vertAlign w:val="subscript"/>
        </w:rPr>
        <w:t>min</w:t>
      </w:r>
      <w:r>
        <w:rPr>
          <w:rFonts w:ascii="Times New Roman" w:hAnsi="Times New Roman" w:cs="Times New Roman"/>
          <w:sz w:val="24"/>
          <w:szCs w:val="24"/>
        </w:rPr>
        <w:t xml:space="preserve"> and I</w:t>
      </w:r>
      <w:r>
        <w:rPr>
          <w:rFonts w:ascii="Times New Roman" w:hAnsi="Times New Roman" w:cs="Times New Roman"/>
          <w:sz w:val="24"/>
          <w:szCs w:val="24"/>
          <w:vertAlign w:val="subscript"/>
        </w:rPr>
        <w:t>max</w:t>
      </w:r>
      <w:r>
        <w:rPr>
          <w:rFonts w:ascii="Times New Roman" w:hAnsi="Times New Roman" w:cs="Times New Roman"/>
          <w:sz w:val="24"/>
          <w:szCs w:val="24"/>
        </w:rPr>
        <w:t xml:space="preserve"> are the minimum and maximum responses. n</w:t>
      </w:r>
      <w:r>
        <w:rPr>
          <w:rFonts w:ascii="Times New Roman" w:hAnsi="Times New Roman" w:cs="Times New Roman"/>
          <w:sz w:val="24"/>
          <w:szCs w:val="24"/>
          <w:vertAlign w:val="subscript"/>
        </w:rPr>
        <w:t>H</w:t>
      </w:r>
      <w:r>
        <w:rPr>
          <w:rFonts w:ascii="Times New Roman" w:hAnsi="Times New Roman" w:cs="Times New Roman"/>
          <w:sz w:val="24"/>
          <w:szCs w:val="24"/>
        </w:rPr>
        <w:t xml:space="preserve"> is the Hill Coefficient. </w:t>
      </w:r>
    </w:p>
    <w:p w:rsidR="00C23336" w:rsidRDefault="00C23336" w:rsidP="00C2333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vertAlign w:val="subscript"/>
        </w:rPr>
        <w:t>50</w:t>
      </w:r>
      <w:r>
        <w:rPr>
          <w:rFonts w:ascii="Times New Roman" w:hAnsi="Times New Roman" w:cs="Times New Roman"/>
          <w:sz w:val="24"/>
          <w:szCs w:val="24"/>
        </w:rPr>
        <w:t xml:space="preserve"> and I</w:t>
      </w:r>
      <w:r>
        <w:rPr>
          <w:rFonts w:ascii="Times New Roman" w:hAnsi="Times New Roman" w:cs="Times New Roman"/>
          <w:sz w:val="24"/>
          <w:szCs w:val="24"/>
          <w:vertAlign w:val="subscript"/>
        </w:rPr>
        <w:t>max</w:t>
      </w:r>
      <w:r>
        <w:rPr>
          <w:rFonts w:ascii="Times New Roman" w:hAnsi="Times New Roman" w:cs="Times New Roman"/>
          <w:sz w:val="24"/>
          <w:szCs w:val="24"/>
        </w:rPr>
        <w:t xml:space="preserve"> values of the wild-type and mutant nAChR’s will be statistically compared through a Randomized Block Design Anova test using the agonists as treatments and each mutant receptor as a block.</w:t>
      </w:r>
    </w:p>
    <w:p w:rsidR="00E56831" w:rsidRDefault="00E56831" w:rsidP="00504B62">
      <w:pPr>
        <w:rPr>
          <w:rFonts w:ascii="Times New Roman" w:hAnsi="Times New Roman" w:cs="Times New Roman"/>
          <w:sz w:val="24"/>
          <w:szCs w:val="24"/>
        </w:rPr>
      </w:pPr>
    </w:p>
    <w:p w:rsidR="00E56831" w:rsidRPr="00D97EC8" w:rsidRDefault="00E56831" w:rsidP="00504B62">
      <w:pPr>
        <w:rPr>
          <w:rFonts w:ascii="Times New Roman" w:hAnsi="Times New Roman" w:cs="Times New Roman"/>
          <w:sz w:val="24"/>
          <w:szCs w:val="24"/>
        </w:rPr>
      </w:pPr>
      <w:r>
        <w:rPr>
          <w:rFonts w:ascii="Times New Roman" w:hAnsi="Times New Roman" w:cs="Times New Roman"/>
          <w:sz w:val="24"/>
          <w:szCs w:val="24"/>
        </w:rPr>
        <w:tab/>
      </w:r>
    </w:p>
    <w:p w:rsidR="006906F7" w:rsidRDefault="006906F7" w:rsidP="00504B62">
      <w:pPr>
        <w:rPr>
          <w:rFonts w:ascii="Times New Roman" w:hAnsi="Times New Roman" w:cs="Times New Roman"/>
          <w:sz w:val="24"/>
          <w:szCs w:val="24"/>
        </w:rPr>
      </w:pPr>
    </w:p>
    <w:p w:rsidR="00A03BAC" w:rsidRDefault="00A03BAC" w:rsidP="00504B62">
      <w:pPr>
        <w:rPr>
          <w:rFonts w:ascii="Times New Roman" w:hAnsi="Times New Roman" w:cs="Times New Roman"/>
          <w:sz w:val="24"/>
          <w:szCs w:val="24"/>
        </w:rPr>
      </w:pPr>
    </w:p>
    <w:p w:rsidR="00C23336" w:rsidRDefault="00C23336" w:rsidP="00504B62">
      <w:pPr>
        <w:rPr>
          <w:rFonts w:ascii="Times New Roman" w:hAnsi="Times New Roman" w:cs="Times New Roman"/>
          <w:sz w:val="24"/>
          <w:szCs w:val="24"/>
        </w:rPr>
      </w:pPr>
    </w:p>
    <w:p w:rsidR="00C23336" w:rsidRDefault="00C23336" w:rsidP="00504B62">
      <w:pPr>
        <w:rPr>
          <w:rFonts w:ascii="Times New Roman" w:hAnsi="Times New Roman" w:cs="Times New Roman"/>
          <w:sz w:val="24"/>
          <w:szCs w:val="24"/>
        </w:rPr>
      </w:pPr>
    </w:p>
    <w:p w:rsidR="00C23336" w:rsidRPr="00D97EC8" w:rsidRDefault="00C23336" w:rsidP="00504B62">
      <w:pPr>
        <w:rPr>
          <w:rFonts w:ascii="Times New Roman" w:hAnsi="Times New Roman" w:cs="Times New Roman"/>
          <w:sz w:val="24"/>
          <w:szCs w:val="24"/>
        </w:rPr>
      </w:pPr>
    </w:p>
    <w:p w:rsidR="003C306F" w:rsidRPr="00D97EC8" w:rsidRDefault="003C306F" w:rsidP="00D25FDF">
      <w:pPr>
        <w:rPr>
          <w:rFonts w:ascii="Times New Roman" w:hAnsi="Times New Roman" w:cs="Times New Roman"/>
          <w:sz w:val="24"/>
          <w:szCs w:val="24"/>
        </w:rPr>
      </w:pPr>
    </w:p>
    <w:p w:rsidR="00D25FDF" w:rsidRPr="00D97EC8" w:rsidRDefault="00D25FDF" w:rsidP="00D25FDF">
      <w:pPr>
        <w:rPr>
          <w:rFonts w:ascii="Times New Roman" w:hAnsi="Times New Roman" w:cs="Times New Roman"/>
          <w:sz w:val="24"/>
          <w:szCs w:val="24"/>
        </w:rPr>
      </w:pPr>
      <w:r w:rsidRPr="00D97EC8">
        <w:rPr>
          <w:rFonts w:ascii="Times New Roman" w:hAnsi="Times New Roman" w:cs="Times New Roman"/>
          <w:sz w:val="24"/>
          <w:szCs w:val="24"/>
        </w:rPr>
        <w:lastRenderedPageBreak/>
        <w:t>Bibliography:</w:t>
      </w:r>
    </w:p>
    <w:p w:rsidR="00D25FDF" w:rsidRPr="00D97EC8" w:rsidRDefault="00D25FDF" w:rsidP="00D532E3">
      <w:pPr>
        <w:rPr>
          <w:rFonts w:ascii="Times New Roman" w:hAnsi="Times New Roman" w:cs="Times New Roman"/>
          <w:color w:val="222222"/>
          <w:sz w:val="24"/>
          <w:szCs w:val="24"/>
          <w:shd w:val="clear" w:color="auto" w:fill="FFFFFF"/>
        </w:rPr>
      </w:pPr>
      <w:r w:rsidRPr="00D97EC8">
        <w:rPr>
          <w:rFonts w:ascii="Times New Roman" w:hAnsi="Times New Roman" w:cs="Times New Roman"/>
          <w:color w:val="222222"/>
          <w:sz w:val="24"/>
          <w:szCs w:val="24"/>
          <w:shd w:val="clear" w:color="auto" w:fill="FFFFFF"/>
        </w:rPr>
        <w:t>Dyer, Fred C., and James L. Could. “Honey Bee Navigation: The Honey Bee's Ability to Find Its Way Depends on a Hierarchy of Sophisticated Orientation Mechanisms”.</w:t>
      </w:r>
      <w:r w:rsidRPr="00D97EC8">
        <w:rPr>
          <w:rStyle w:val="apple-converted-space"/>
          <w:rFonts w:ascii="Times New Roman" w:hAnsi="Times New Roman" w:cs="Times New Roman"/>
          <w:color w:val="222222"/>
          <w:sz w:val="24"/>
          <w:szCs w:val="24"/>
          <w:shd w:val="clear" w:color="auto" w:fill="FFFFFF"/>
        </w:rPr>
        <w:t> </w:t>
      </w:r>
      <w:r w:rsidRPr="00D97EC8">
        <w:rPr>
          <w:rFonts w:ascii="Times New Roman" w:hAnsi="Times New Roman" w:cs="Times New Roman"/>
          <w:i/>
          <w:iCs/>
          <w:color w:val="222222"/>
          <w:sz w:val="24"/>
          <w:szCs w:val="24"/>
          <w:shd w:val="clear" w:color="auto" w:fill="FFFFFF"/>
        </w:rPr>
        <w:t>American Scientist</w:t>
      </w:r>
      <w:r w:rsidRPr="00D97EC8">
        <w:rPr>
          <w:rStyle w:val="apple-converted-space"/>
          <w:rFonts w:ascii="Times New Roman" w:hAnsi="Times New Roman" w:cs="Times New Roman"/>
          <w:color w:val="222222"/>
          <w:sz w:val="24"/>
          <w:szCs w:val="24"/>
          <w:shd w:val="clear" w:color="auto" w:fill="FFFFFF"/>
        </w:rPr>
        <w:t> </w:t>
      </w:r>
      <w:r w:rsidRPr="00D97EC8">
        <w:rPr>
          <w:rFonts w:ascii="Times New Roman" w:hAnsi="Times New Roman" w:cs="Times New Roman"/>
          <w:color w:val="222222"/>
          <w:sz w:val="24"/>
          <w:szCs w:val="24"/>
          <w:shd w:val="clear" w:color="auto" w:fill="FFFFFF"/>
        </w:rPr>
        <w:t xml:space="preserve">71.6 (1983): 587–597. Web. </w:t>
      </w:r>
      <w:hyperlink r:id="rId14" w:anchor="page_scan_tab_contents" w:history="1">
        <w:r w:rsidRPr="00D97EC8">
          <w:rPr>
            <w:rStyle w:val="Hyperlink"/>
            <w:rFonts w:ascii="Times New Roman" w:hAnsi="Times New Roman" w:cs="Times New Roman"/>
            <w:sz w:val="24"/>
            <w:szCs w:val="24"/>
            <w:shd w:val="clear" w:color="auto" w:fill="FFFFFF"/>
          </w:rPr>
          <w:t>http://www.jstor.org/stable/27852344?seq=1#page_scan_tab_contents</w:t>
        </w:r>
      </w:hyperlink>
      <w:r w:rsidRPr="00D97EC8">
        <w:rPr>
          <w:rFonts w:ascii="Times New Roman" w:hAnsi="Times New Roman" w:cs="Times New Roman"/>
          <w:color w:val="222222"/>
          <w:sz w:val="24"/>
          <w:szCs w:val="24"/>
          <w:shd w:val="clear" w:color="auto" w:fill="FFFFFF"/>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Gauthier, Monique. "State of the Art on Insect Nicotinic Acetylcholine Receptor Function in Learning and Memory."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Advances in Experimental Medicine and Biology Insect Nicotinic Acetylcholine Receptors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(2010): 97-115.</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Springer</w:t>
      </w:r>
      <w:r w:rsidRPr="00D97EC8">
        <w:rPr>
          <w:rFonts w:ascii="Times New Roman" w:hAnsi="Times New Roman" w:cs="Times New Roman"/>
          <w:color w:val="000000"/>
          <w:sz w:val="24"/>
          <w:szCs w:val="24"/>
          <w:shd w:val="clear" w:color="auto" w:fill="F1F4F5"/>
        </w:rPr>
        <w:t xml:space="preserve">. Web. </w:t>
      </w:r>
      <w:hyperlink r:id="rId15" w:history="1">
        <w:r w:rsidRPr="00D97EC8">
          <w:rPr>
            <w:rStyle w:val="Hyperlink"/>
            <w:rFonts w:ascii="Times New Roman" w:hAnsi="Times New Roman" w:cs="Times New Roman"/>
            <w:sz w:val="24"/>
            <w:szCs w:val="24"/>
            <w:shd w:val="clear" w:color="auto" w:fill="F1F4F5"/>
          </w:rPr>
          <w:t>https://www.researchgate.net/profile/Monique_Gauthier/publication/45950074_State_of_the_art_on_insect_nicotinic_acetylcholine_receptor_function_in_learning_and_memory/links/0c96053a5918baeabf000000.pdf</w:t>
        </w:r>
      </w:hyperlink>
      <w:r w:rsidRPr="00D97EC8">
        <w:rPr>
          <w:rFonts w:ascii="Times New Roman" w:hAnsi="Times New Roman" w:cs="Times New Roman"/>
          <w:color w:val="000000"/>
          <w:sz w:val="24"/>
          <w:szCs w:val="24"/>
          <w:shd w:val="clear" w:color="auto" w:fill="F1F4F5"/>
        </w:rPr>
        <w:t>.</w:t>
      </w:r>
    </w:p>
    <w:p w:rsidR="00C624C0" w:rsidRPr="00D97EC8" w:rsidRDefault="00C624C0"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Ihara, Makoto, Masaru Shimomura, Morihiko Kuwamura, Miki Akamatsu, David B. Sattelle, Kazuhiko Matsuda, Maiko Otake, and Valerie Raymond. "A Single Amino Acid Polymorphism in the Drosophila Melanogaster Dα1 (ALS) Subunit Enhances Neonicotinoid Efficacy at Dα1-chicken β2 Hybrid Nicotinic Acetylcholine Receptor Expressed in Xenopus Laevis Oocytes."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Neuropharmachology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 xml:space="preserve">45.1 (2003): 133-44. Web. </w:t>
      </w:r>
      <w:hyperlink r:id="rId16" w:history="1">
        <w:r w:rsidRPr="00D97EC8">
          <w:rPr>
            <w:rStyle w:val="Hyperlink"/>
            <w:rFonts w:ascii="Times New Roman" w:hAnsi="Times New Roman" w:cs="Times New Roman"/>
            <w:sz w:val="24"/>
            <w:szCs w:val="24"/>
            <w:shd w:val="clear" w:color="auto" w:fill="F1F4F5"/>
          </w:rPr>
          <w:t>http://www.sciencedirect.com/science/article/pii/S0028390803001345</w:t>
        </w:r>
      </w:hyperlink>
      <w:r w:rsidRPr="00D97EC8">
        <w:rPr>
          <w:rFonts w:ascii="Times New Roman" w:hAnsi="Times New Roman" w:cs="Times New Roman"/>
          <w:color w:val="000000"/>
          <w:sz w:val="24"/>
          <w:szCs w:val="24"/>
          <w:shd w:val="clear" w:color="auto" w:fill="F1F4F5"/>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Iwasa, Takao, Naoki Motoyama, John T. Ambrose, and R.michael Roe. "Mechanism for the Differential Toxicity of Neonicotinoid Insecticides in the Honey Bee, Apis Mellifera."</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Crop Protection</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23.5 (2004): 371-78.</w:t>
      </w:r>
      <w:r w:rsidRPr="00D97EC8">
        <w:rPr>
          <w:rFonts w:ascii="Times New Roman" w:hAnsi="Times New Roman" w:cs="Times New Roman"/>
          <w:i/>
          <w:iCs/>
          <w:color w:val="000000"/>
          <w:sz w:val="24"/>
          <w:szCs w:val="24"/>
          <w:shd w:val="clear" w:color="auto" w:fill="F1F4F5"/>
        </w:rPr>
        <w:t>Elsevier</w:t>
      </w:r>
      <w:r w:rsidRPr="00D97EC8">
        <w:rPr>
          <w:rFonts w:ascii="Times New Roman" w:hAnsi="Times New Roman" w:cs="Times New Roman"/>
          <w:color w:val="000000"/>
          <w:sz w:val="24"/>
          <w:szCs w:val="24"/>
          <w:shd w:val="clear" w:color="auto" w:fill="F1F4F5"/>
        </w:rPr>
        <w:t xml:space="preserve">. Web. </w:t>
      </w:r>
      <w:hyperlink r:id="rId17" w:history="1">
        <w:r w:rsidRPr="00D97EC8">
          <w:rPr>
            <w:rStyle w:val="Hyperlink"/>
            <w:rFonts w:ascii="Times New Roman" w:hAnsi="Times New Roman" w:cs="Times New Roman"/>
            <w:sz w:val="24"/>
            <w:szCs w:val="24"/>
            <w:shd w:val="clear" w:color="auto" w:fill="F1F4F5"/>
          </w:rPr>
          <w:t>http://www.farmlandbirds.net/sites/default/files/Iwasa2004.pdf</w:t>
        </w:r>
      </w:hyperlink>
      <w:r w:rsidRPr="00D97EC8">
        <w:rPr>
          <w:rFonts w:ascii="Times New Roman" w:hAnsi="Times New Roman" w:cs="Times New Roman"/>
          <w:color w:val="000000"/>
          <w:sz w:val="24"/>
          <w:szCs w:val="24"/>
          <w:shd w:val="clear" w:color="auto" w:fill="F1F4F5"/>
        </w:rPr>
        <w:t>.</w:t>
      </w:r>
    </w:p>
    <w:p w:rsidR="00FA2A2B" w:rsidRPr="00D97EC8" w:rsidRDefault="00FA2A2B"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Shimomura, Masaru, Hiroshi Okuda, Kazuhiko Matsuda, Koichiro Komai, Miki Akamatsu, and David B. Sattelle. "Effects of Mutations of a Glutamine Residue in Loop D of the α7 Nicotinic Acetylcholine Receptor on Agonist Profiles for Neonicotinoid Insecticides and Related Ligands."</w:t>
      </w:r>
      <w:r w:rsidRPr="00D97EC8">
        <w:rPr>
          <w:rFonts w:ascii="Times New Roman" w:hAnsi="Times New Roman" w:cs="Times New Roman"/>
          <w:i/>
          <w:iCs/>
          <w:color w:val="000000"/>
          <w:sz w:val="24"/>
          <w:szCs w:val="24"/>
          <w:shd w:val="clear" w:color="auto" w:fill="F1F4F5"/>
        </w:rPr>
        <w:t>British Journal of Pharmacology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 xml:space="preserve">137.2 (2002): 162-69. Web. </w:t>
      </w:r>
      <w:hyperlink r:id="rId18" w:history="1">
        <w:r w:rsidRPr="00D97EC8">
          <w:rPr>
            <w:rStyle w:val="Hyperlink"/>
            <w:rFonts w:ascii="Times New Roman" w:hAnsi="Times New Roman" w:cs="Times New Roman"/>
            <w:sz w:val="24"/>
            <w:szCs w:val="24"/>
            <w:shd w:val="clear" w:color="auto" w:fill="F1F4F5"/>
          </w:rPr>
          <w:t>http://onlinelibrary.wiley.com/doi/10.1038/sj.bjp.0704848/full</w:t>
        </w:r>
      </w:hyperlink>
      <w:r w:rsidR="000665AB">
        <w:rPr>
          <w:rFonts w:ascii="Times New Roman" w:hAnsi="Times New Roman" w:cs="Times New Roman"/>
          <w:color w:val="000000"/>
          <w:sz w:val="24"/>
          <w:szCs w:val="24"/>
          <w:shd w:val="clear" w:color="auto" w:fill="F1F4F5"/>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Suchail, Severine, David Guez, and Luc P. Be</w:t>
      </w:r>
      <w:r w:rsidR="00FA2A2B" w:rsidRPr="00D97EC8">
        <w:rPr>
          <w:rFonts w:ascii="Times New Roman" w:hAnsi="Times New Roman" w:cs="Times New Roman"/>
          <w:color w:val="000000"/>
          <w:sz w:val="24"/>
          <w:szCs w:val="24"/>
          <w:shd w:val="clear" w:color="auto" w:fill="F1F4F5"/>
        </w:rPr>
        <w:t>lzunces. "Discrepancy between Ac</w:t>
      </w:r>
      <w:r w:rsidRPr="00D97EC8">
        <w:rPr>
          <w:rFonts w:ascii="Times New Roman" w:hAnsi="Times New Roman" w:cs="Times New Roman"/>
          <w:color w:val="000000"/>
          <w:sz w:val="24"/>
          <w:szCs w:val="24"/>
          <w:shd w:val="clear" w:color="auto" w:fill="F1F4F5"/>
        </w:rPr>
        <w:t>ute and Chronic Toxicity Induced by Imidacloprid and Its Metabolites in Apis Mellifera."</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Environmental Toxicology and Chemistry</w:t>
      </w:r>
      <w:r w:rsidRPr="00D97EC8">
        <w:rPr>
          <w:rFonts w:ascii="Times New Roman" w:hAnsi="Times New Roman" w:cs="Times New Roman"/>
          <w:color w:val="000000"/>
          <w:sz w:val="24"/>
          <w:szCs w:val="24"/>
          <w:shd w:val="clear" w:color="auto" w:fill="F1F4F5"/>
        </w:rPr>
        <w:t>20.11 (2001): 2482-486.</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Wiley Online Library</w:t>
      </w:r>
      <w:r w:rsidRPr="00D97EC8">
        <w:rPr>
          <w:rFonts w:ascii="Times New Roman" w:hAnsi="Times New Roman" w:cs="Times New Roman"/>
          <w:color w:val="000000"/>
          <w:sz w:val="24"/>
          <w:szCs w:val="24"/>
          <w:shd w:val="clear" w:color="auto" w:fill="F1F4F5"/>
        </w:rPr>
        <w:t xml:space="preserve">. Web. </w:t>
      </w:r>
      <w:hyperlink r:id="rId19" w:history="1">
        <w:r w:rsidRPr="00D97EC8">
          <w:rPr>
            <w:rStyle w:val="Hyperlink"/>
            <w:rFonts w:ascii="Times New Roman" w:hAnsi="Times New Roman" w:cs="Times New Roman"/>
            <w:sz w:val="24"/>
            <w:szCs w:val="24"/>
            <w:shd w:val="clear" w:color="auto" w:fill="F1F4F5"/>
          </w:rPr>
          <w:t>http://onlinelibrary.wiley.com/doi/10.1002/etc.5620201113/abstract</w:t>
        </w:r>
      </w:hyperlink>
      <w:r w:rsidRPr="00D97EC8">
        <w:rPr>
          <w:rFonts w:ascii="Times New Roman" w:hAnsi="Times New Roman" w:cs="Times New Roman"/>
          <w:color w:val="000000"/>
          <w:sz w:val="24"/>
          <w:szCs w:val="24"/>
          <w:shd w:val="clear" w:color="auto" w:fill="F1F4F5"/>
        </w:rPr>
        <w:t>.</w:t>
      </w:r>
    </w:p>
    <w:p w:rsidR="00D532E3" w:rsidRPr="00D97EC8" w:rsidRDefault="00D532E3"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Thany, Steeve H., Guy Lenaers, Valérie Raymond-Delpech, David B. Sattelle, and Bruno Lapied. "Exploring the Pharmacological Properties of Insect Nicotinic Acetylcholine Receptors."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Trends in Pharmacological Sciences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28.1 (2007): 14-22.</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Clinical Key</w:t>
      </w:r>
      <w:r w:rsidRPr="00D97EC8">
        <w:rPr>
          <w:rFonts w:ascii="Times New Roman" w:hAnsi="Times New Roman" w:cs="Times New Roman"/>
          <w:color w:val="000000"/>
          <w:sz w:val="24"/>
          <w:szCs w:val="24"/>
          <w:shd w:val="clear" w:color="auto" w:fill="F1F4F5"/>
        </w:rPr>
        <w:t xml:space="preserve">. Web. </w:t>
      </w:r>
      <w:hyperlink r:id="rId20" w:anchor="!/content/playTesContent/1-s2.0-S0165614706002719?returnurl=null&amp;referrer=null" w:history="1">
        <w:r w:rsidR="00012DFE" w:rsidRPr="00D97EC8">
          <w:rPr>
            <w:rStyle w:val="Hyperlink"/>
            <w:rFonts w:ascii="Times New Roman" w:hAnsi="Times New Roman" w:cs="Times New Roman"/>
            <w:sz w:val="24"/>
            <w:szCs w:val="24"/>
          </w:rPr>
          <w:t>https://www.clinicalkey.com/#!/content/playTesContent/1-s2.0-S0165614706002719?returnurl=null&amp;referrer=null</w:t>
        </w:r>
      </w:hyperlink>
      <w:r w:rsidRPr="00D97EC8">
        <w:rPr>
          <w:rFonts w:ascii="Times New Roman" w:hAnsi="Times New Roman" w:cs="Times New Roman"/>
          <w:sz w:val="24"/>
          <w:szCs w:val="24"/>
        </w:rPr>
        <w:t>.</w:t>
      </w:r>
    </w:p>
    <w:p w:rsidR="00412AC1" w:rsidRPr="00D97EC8" w:rsidRDefault="000640CA">
      <w:pPr>
        <w:rPr>
          <w:rFonts w:ascii="Times New Roman" w:hAnsi="Times New Roman" w:cs="Times New Roman"/>
          <w:sz w:val="24"/>
          <w:szCs w:val="24"/>
        </w:rPr>
      </w:pPr>
      <w:r w:rsidRPr="00D97EC8">
        <w:rPr>
          <w:rFonts w:ascii="Times New Roman" w:hAnsi="Times New Roman" w:cs="Times New Roman"/>
          <w:sz w:val="24"/>
          <w:szCs w:val="24"/>
        </w:rPr>
        <w:t>Yamada,T.,Takahashi,H.,Hatano,R.,1999. A novel insecticide, acetamiprid. In: Yamamoto,I.,Casida,J.E. (Eds.),Nicotinoid Insecticides and the Nicotinic Acetylcholine Receptor. Springer, Tokyo,pp. 149–176.</w:t>
      </w:r>
    </w:p>
    <w:p w:rsidR="00AC6B63" w:rsidRPr="00D97EC8" w:rsidRDefault="00AC6B63">
      <w:pPr>
        <w:rPr>
          <w:rFonts w:ascii="Times New Roman" w:hAnsi="Times New Roman" w:cs="Times New Roman"/>
          <w:sz w:val="24"/>
          <w:szCs w:val="24"/>
        </w:rPr>
      </w:pPr>
    </w:p>
    <w:p w:rsidR="00AC6B63" w:rsidRPr="00D97EC8" w:rsidRDefault="00AC6B63">
      <w:pPr>
        <w:rPr>
          <w:rFonts w:ascii="Times New Roman" w:hAnsi="Times New Roman" w:cs="Times New Roman"/>
          <w:sz w:val="24"/>
          <w:szCs w:val="24"/>
        </w:rPr>
      </w:pPr>
    </w:p>
    <w:p w:rsidR="00AC6B63" w:rsidRPr="00D97EC8" w:rsidRDefault="00AC6B63">
      <w:pPr>
        <w:rPr>
          <w:rFonts w:ascii="Times New Roman" w:hAnsi="Times New Roman" w:cs="Times New Roman"/>
          <w:sz w:val="24"/>
          <w:szCs w:val="24"/>
        </w:rPr>
      </w:pPr>
      <w:r w:rsidRPr="00D97EC8">
        <w:rPr>
          <w:rFonts w:ascii="Times New Roman" w:hAnsi="Times New Roman" w:cs="Times New Roman"/>
          <w:sz w:val="24"/>
          <w:szCs w:val="24"/>
        </w:rPr>
        <w:t>Notes:</w:t>
      </w:r>
    </w:p>
    <w:p w:rsidR="00AC6B63" w:rsidRPr="00D97EC8" w:rsidRDefault="00AC6B63">
      <w:pPr>
        <w:rPr>
          <w:rFonts w:ascii="Times New Roman" w:hAnsi="Times New Roman" w:cs="Times New Roman"/>
          <w:sz w:val="24"/>
          <w:szCs w:val="24"/>
        </w:rPr>
      </w:pPr>
      <w:r w:rsidRPr="00D97EC8">
        <w:rPr>
          <w:rFonts w:ascii="Times New Roman" w:hAnsi="Times New Roman" w:cs="Times New Roman"/>
          <w:sz w:val="24"/>
          <w:szCs w:val="24"/>
        </w:rPr>
        <w:t xml:space="preserve">Need addition to figure 2.  Look through protein explorer for </w:t>
      </w:r>
      <w:r w:rsidR="00767A87" w:rsidRPr="00D97EC8">
        <w:rPr>
          <w:rFonts w:ascii="Times New Roman" w:hAnsi="Times New Roman" w:cs="Times New Roman"/>
          <w:sz w:val="24"/>
          <w:szCs w:val="24"/>
        </w:rPr>
        <w:t xml:space="preserve">structure of Receptor while bound to ligand Ach.  </w:t>
      </w:r>
      <w:r w:rsidR="00F61E5A" w:rsidRPr="00D97EC8">
        <w:rPr>
          <w:rFonts w:ascii="Times New Roman" w:hAnsi="Times New Roman" w:cs="Times New Roman"/>
          <w:sz w:val="24"/>
          <w:szCs w:val="24"/>
        </w:rPr>
        <w:t>x`</w:t>
      </w:r>
    </w:p>
    <w:p w:rsidR="00961A5C" w:rsidRPr="00D97EC8" w:rsidRDefault="00961A5C">
      <w:pPr>
        <w:rPr>
          <w:rFonts w:ascii="Times New Roman" w:hAnsi="Times New Roman" w:cs="Times New Roman"/>
          <w:sz w:val="24"/>
          <w:szCs w:val="24"/>
        </w:rPr>
      </w:pPr>
    </w:p>
    <w:p w:rsidR="00961A5C" w:rsidRPr="000640CA" w:rsidRDefault="00961A5C">
      <w:pPr>
        <w:rPr>
          <w:rFonts w:ascii="Times New Roman" w:hAnsi="Times New Roman" w:cs="Times New Roman"/>
          <w:sz w:val="24"/>
          <w:szCs w:val="24"/>
        </w:rPr>
      </w:pPr>
    </w:p>
    <w:sectPr w:rsidR="00961A5C" w:rsidRPr="00064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33" w:rsidRDefault="00EA2D33" w:rsidP="00504D74">
      <w:pPr>
        <w:spacing w:after="0" w:line="240" w:lineRule="auto"/>
      </w:pPr>
      <w:r>
        <w:separator/>
      </w:r>
    </w:p>
  </w:endnote>
  <w:endnote w:type="continuationSeparator" w:id="0">
    <w:p w:rsidR="00EA2D33" w:rsidRDefault="00EA2D33" w:rsidP="005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33" w:rsidRDefault="00EA2D33" w:rsidP="00504D74">
      <w:pPr>
        <w:spacing w:after="0" w:line="240" w:lineRule="auto"/>
      </w:pPr>
      <w:r>
        <w:separator/>
      </w:r>
    </w:p>
  </w:footnote>
  <w:footnote w:type="continuationSeparator" w:id="0">
    <w:p w:rsidR="00EA2D33" w:rsidRDefault="00EA2D33" w:rsidP="00504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B95"/>
    <w:multiLevelType w:val="hybridMultilevel"/>
    <w:tmpl w:val="C644B2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EAE37CC">
      <w:start w:val="1"/>
      <w:numFmt w:val="lowerRoman"/>
      <w:lvlText w:val="%3."/>
      <w:lvlJc w:val="right"/>
      <w:pPr>
        <w:ind w:left="1872" w:firstLine="144"/>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3C4697E">
      <w:start w:val="2"/>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D22"/>
    <w:multiLevelType w:val="hybridMultilevel"/>
    <w:tmpl w:val="29A04C1C"/>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1AA69F9"/>
    <w:multiLevelType w:val="hybridMultilevel"/>
    <w:tmpl w:val="622ED856"/>
    <w:lvl w:ilvl="0" w:tplc="B9BE4A20">
      <w:start w:val="6"/>
      <w:numFmt w:val="lowerRoman"/>
      <w:lvlText w:val="%1."/>
      <w:lvlJc w:val="right"/>
      <w:pPr>
        <w:ind w:left="1440" w:firstLine="14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142D3537"/>
    <w:multiLevelType w:val="hybridMultilevel"/>
    <w:tmpl w:val="57C69CF2"/>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88028C7"/>
    <w:multiLevelType w:val="hybridMultilevel"/>
    <w:tmpl w:val="075CB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A3C"/>
    <w:multiLevelType w:val="hybridMultilevel"/>
    <w:tmpl w:val="33A8161C"/>
    <w:lvl w:ilvl="0" w:tplc="B9BE4A20">
      <w:start w:val="6"/>
      <w:numFmt w:val="lowerRoman"/>
      <w:lvlText w:val="%1."/>
      <w:lvlJc w:val="right"/>
      <w:pPr>
        <w:ind w:left="2376" w:firstLine="144"/>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F20699"/>
    <w:multiLevelType w:val="hybridMultilevel"/>
    <w:tmpl w:val="AFB40C0A"/>
    <w:lvl w:ilvl="0" w:tplc="0409000F">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AE12A8"/>
    <w:multiLevelType w:val="hybridMultilevel"/>
    <w:tmpl w:val="BD18E8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37933"/>
    <w:multiLevelType w:val="hybridMultilevel"/>
    <w:tmpl w:val="596259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00022"/>
    <w:multiLevelType w:val="hybridMultilevel"/>
    <w:tmpl w:val="B2620520"/>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4C081BAF"/>
    <w:multiLevelType w:val="hybridMultilevel"/>
    <w:tmpl w:val="467C88FA"/>
    <w:lvl w:ilvl="0" w:tplc="B65C954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F5C2D"/>
    <w:multiLevelType w:val="hybridMultilevel"/>
    <w:tmpl w:val="F3082B16"/>
    <w:lvl w:ilvl="0" w:tplc="B9BE4A20">
      <w:start w:val="6"/>
      <w:numFmt w:val="lowerRoman"/>
      <w:lvlText w:val="%1."/>
      <w:lvlJc w:val="right"/>
      <w:pPr>
        <w:ind w:left="1440" w:firstLine="14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66A756BC"/>
    <w:multiLevelType w:val="hybridMultilevel"/>
    <w:tmpl w:val="6874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D3235"/>
    <w:multiLevelType w:val="hybridMultilevel"/>
    <w:tmpl w:val="A90EF93A"/>
    <w:lvl w:ilvl="0" w:tplc="3FDA1AAE">
      <w:start w:val="5"/>
      <w:numFmt w:val="lowerRoman"/>
      <w:lvlText w:val="%1."/>
      <w:lvlJc w:val="right"/>
      <w:pPr>
        <w:ind w:left="1872"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A01BC"/>
    <w:multiLevelType w:val="hybridMultilevel"/>
    <w:tmpl w:val="8132C772"/>
    <w:lvl w:ilvl="0" w:tplc="83C4697E">
      <w:start w:val="2"/>
      <w:numFmt w:val="lowerRoman"/>
      <w:lvlText w:val="%1."/>
      <w:lvlJc w:val="right"/>
      <w:pPr>
        <w:ind w:left="2340" w:hanging="18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15:restartNumberingAfterBreak="0">
    <w:nsid w:val="7517525D"/>
    <w:multiLevelType w:val="hybridMultilevel"/>
    <w:tmpl w:val="317E344A"/>
    <w:lvl w:ilvl="0" w:tplc="0409001B">
      <w:start w:val="1"/>
      <w:numFmt w:val="lowerRoman"/>
      <w:lvlText w:val="%1."/>
      <w:lvlJc w:val="right"/>
      <w:pPr>
        <w:ind w:left="1656" w:firstLine="14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916181B"/>
    <w:multiLevelType w:val="hybridMultilevel"/>
    <w:tmpl w:val="6A00EEC8"/>
    <w:lvl w:ilvl="0" w:tplc="46AED250">
      <w:start w:val="3"/>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2"/>
  </w:num>
  <w:num w:numId="5">
    <w:abstractNumId w:val="6"/>
  </w:num>
  <w:num w:numId="6">
    <w:abstractNumId w:val="7"/>
  </w:num>
  <w:num w:numId="7">
    <w:abstractNumId w:val="8"/>
  </w:num>
  <w:num w:numId="8">
    <w:abstractNumId w:val="16"/>
  </w:num>
  <w:num w:numId="9">
    <w:abstractNumId w:val="14"/>
  </w:num>
  <w:num w:numId="10">
    <w:abstractNumId w:val="13"/>
  </w:num>
  <w:num w:numId="11">
    <w:abstractNumId w:val="1"/>
  </w:num>
  <w:num w:numId="12">
    <w:abstractNumId w:val="2"/>
  </w:num>
  <w:num w:numId="13">
    <w:abstractNumId w:val="5"/>
  </w:num>
  <w:num w:numId="14">
    <w:abstractNumId w:val="11"/>
  </w:num>
  <w:num w:numId="15">
    <w:abstractNumId w:val="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F"/>
    <w:rsid w:val="00012DFE"/>
    <w:rsid w:val="000640CA"/>
    <w:rsid w:val="000665AB"/>
    <w:rsid w:val="00075CF1"/>
    <w:rsid w:val="00090B4A"/>
    <w:rsid w:val="000A2857"/>
    <w:rsid w:val="000F7C26"/>
    <w:rsid w:val="00102497"/>
    <w:rsid w:val="00123E02"/>
    <w:rsid w:val="00134E64"/>
    <w:rsid w:val="00140784"/>
    <w:rsid w:val="001805C2"/>
    <w:rsid w:val="001D5540"/>
    <w:rsid w:val="00221B82"/>
    <w:rsid w:val="00292057"/>
    <w:rsid w:val="002A6E64"/>
    <w:rsid w:val="002C5D09"/>
    <w:rsid w:val="002D1F1C"/>
    <w:rsid w:val="003358EB"/>
    <w:rsid w:val="00377E8F"/>
    <w:rsid w:val="003B0CD2"/>
    <w:rsid w:val="003C306F"/>
    <w:rsid w:val="00412AC1"/>
    <w:rsid w:val="004142FA"/>
    <w:rsid w:val="00425205"/>
    <w:rsid w:val="00435F05"/>
    <w:rsid w:val="00443126"/>
    <w:rsid w:val="00456CD9"/>
    <w:rsid w:val="00461091"/>
    <w:rsid w:val="00473C9A"/>
    <w:rsid w:val="00475BA9"/>
    <w:rsid w:val="00482818"/>
    <w:rsid w:val="00494B17"/>
    <w:rsid w:val="004A42C5"/>
    <w:rsid w:val="004B449E"/>
    <w:rsid w:val="00504B62"/>
    <w:rsid w:val="00504D74"/>
    <w:rsid w:val="00507474"/>
    <w:rsid w:val="005567CF"/>
    <w:rsid w:val="005B6FF5"/>
    <w:rsid w:val="005C5C90"/>
    <w:rsid w:val="006906F7"/>
    <w:rsid w:val="006A59AF"/>
    <w:rsid w:val="00702A6E"/>
    <w:rsid w:val="0070728E"/>
    <w:rsid w:val="00711B1A"/>
    <w:rsid w:val="00713544"/>
    <w:rsid w:val="007307A7"/>
    <w:rsid w:val="00744F8D"/>
    <w:rsid w:val="00767A87"/>
    <w:rsid w:val="00792F0E"/>
    <w:rsid w:val="007C1170"/>
    <w:rsid w:val="0081277D"/>
    <w:rsid w:val="0082750E"/>
    <w:rsid w:val="00840EAC"/>
    <w:rsid w:val="00865C67"/>
    <w:rsid w:val="008908F6"/>
    <w:rsid w:val="00890D34"/>
    <w:rsid w:val="0090394D"/>
    <w:rsid w:val="00961A5C"/>
    <w:rsid w:val="009841EF"/>
    <w:rsid w:val="009A2103"/>
    <w:rsid w:val="009C3745"/>
    <w:rsid w:val="00A03BAC"/>
    <w:rsid w:val="00A06C10"/>
    <w:rsid w:val="00A109F3"/>
    <w:rsid w:val="00A11499"/>
    <w:rsid w:val="00A63815"/>
    <w:rsid w:val="00A974A5"/>
    <w:rsid w:val="00AA12E1"/>
    <w:rsid w:val="00AC6B63"/>
    <w:rsid w:val="00B2188F"/>
    <w:rsid w:val="00B5117C"/>
    <w:rsid w:val="00B561D8"/>
    <w:rsid w:val="00BD1EEB"/>
    <w:rsid w:val="00BF3C03"/>
    <w:rsid w:val="00C23336"/>
    <w:rsid w:val="00C273BC"/>
    <w:rsid w:val="00C364A7"/>
    <w:rsid w:val="00C624C0"/>
    <w:rsid w:val="00CB420D"/>
    <w:rsid w:val="00D25FDF"/>
    <w:rsid w:val="00D532E3"/>
    <w:rsid w:val="00D716F9"/>
    <w:rsid w:val="00D737ED"/>
    <w:rsid w:val="00D97EC8"/>
    <w:rsid w:val="00DB0445"/>
    <w:rsid w:val="00DD6EC3"/>
    <w:rsid w:val="00DD72E7"/>
    <w:rsid w:val="00E441A1"/>
    <w:rsid w:val="00E56831"/>
    <w:rsid w:val="00E66869"/>
    <w:rsid w:val="00E836F2"/>
    <w:rsid w:val="00E92328"/>
    <w:rsid w:val="00EA2D33"/>
    <w:rsid w:val="00EC3475"/>
    <w:rsid w:val="00EC7BAF"/>
    <w:rsid w:val="00F1776D"/>
    <w:rsid w:val="00F55455"/>
    <w:rsid w:val="00F61E5A"/>
    <w:rsid w:val="00FA2A2B"/>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7ED5-9195-4CDD-B4AD-4798FE6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F"/>
    <w:pPr>
      <w:ind w:left="720"/>
      <w:contextualSpacing/>
    </w:pPr>
  </w:style>
  <w:style w:type="character" w:styleId="Hyperlink">
    <w:name w:val="Hyperlink"/>
    <w:basedOn w:val="DefaultParagraphFont"/>
    <w:uiPriority w:val="99"/>
    <w:unhideWhenUsed/>
    <w:rsid w:val="00D25FDF"/>
    <w:rPr>
      <w:color w:val="0000FF"/>
      <w:u w:val="single"/>
    </w:rPr>
  </w:style>
  <w:style w:type="character" w:customStyle="1" w:styleId="apple-converted-space">
    <w:name w:val="apple-converted-space"/>
    <w:basedOn w:val="DefaultParagraphFont"/>
    <w:rsid w:val="00D25FDF"/>
  </w:style>
  <w:style w:type="character" w:styleId="FollowedHyperlink">
    <w:name w:val="FollowedHyperlink"/>
    <w:basedOn w:val="DefaultParagraphFont"/>
    <w:uiPriority w:val="99"/>
    <w:semiHidden/>
    <w:unhideWhenUsed/>
    <w:rsid w:val="00D532E3"/>
    <w:rPr>
      <w:color w:val="954F72" w:themeColor="followedHyperlink"/>
      <w:u w:val="single"/>
    </w:rPr>
  </w:style>
  <w:style w:type="paragraph" w:styleId="HTMLPreformatted">
    <w:name w:val="HTML Preformatted"/>
    <w:basedOn w:val="Normal"/>
    <w:link w:val="HTMLPreformattedChar"/>
    <w:uiPriority w:val="99"/>
    <w:unhideWhenUsed/>
    <w:rsid w:val="0096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1A5C"/>
    <w:rPr>
      <w:rFonts w:ascii="Courier New" w:eastAsia="Times New Roman" w:hAnsi="Courier New" w:cs="Courier New"/>
      <w:sz w:val="20"/>
      <w:szCs w:val="20"/>
    </w:rPr>
  </w:style>
  <w:style w:type="character" w:customStyle="1" w:styleId="feature">
    <w:name w:val="feature"/>
    <w:basedOn w:val="DefaultParagraphFont"/>
    <w:rsid w:val="00961A5C"/>
  </w:style>
  <w:style w:type="paragraph" w:styleId="NormalWeb">
    <w:name w:val="Normal (Web)"/>
    <w:basedOn w:val="Normal"/>
    <w:uiPriority w:val="99"/>
    <w:semiHidden/>
    <w:unhideWhenUsed/>
    <w:rsid w:val="00D97EC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474"/>
    <w:rPr>
      <w:i/>
      <w:iCs/>
    </w:rPr>
  </w:style>
  <w:style w:type="paragraph" w:styleId="Header">
    <w:name w:val="header"/>
    <w:basedOn w:val="Normal"/>
    <w:link w:val="HeaderChar"/>
    <w:uiPriority w:val="99"/>
    <w:unhideWhenUsed/>
    <w:rsid w:val="0050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74"/>
  </w:style>
  <w:style w:type="paragraph" w:styleId="Footer">
    <w:name w:val="footer"/>
    <w:basedOn w:val="Normal"/>
    <w:link w:val="FooterChar"/>
    <w:uiPriority w:val="99"/>
    <w:unhideWhenUsed/>
    <w:rsid w:val="0050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74"/>
  </w:style>
  <w:style w:type="table" w:styleId="PlainTable5">
    <w:name w:val="Plain Table 5"/>
    <w:basedOn w:val="TableNormal"/>
    <w:uiPriority w:val="45"/>
    <w:rsid w:val="00E568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24">
      <w:bodyDiv w:val="1"/>
      <w:marLeft w:val="0"/>
      <w:marRight w:val="0"/>
      <w:marTop w:val="0"/>
      <w:marBottom w:val="0"/>
      <w:divBdr>
        <w:top w:val="none" w:sz="0" w:space="0" w:color="auto"/>
        <w:left w:val="none" w:sz="0" w:space="0" w:color="auto"/>
        <w:bottom w:val="none" w:sz="0" w:space="0" w:color="auto"/>
        <w:right w:val="none" w:sz="0" w:space="0" w:color="auto"/>
      </w:divBdr>
    </w:div>
    <w:div w:id="122312416">
      <w:bodyDiv w:val="1"/>
      <w:marLeft w:val="0"/>
      <w:marRight w:val="0"/>
      <w:marTop w:val="0"/>
      <w:marBottom w:val="0"/>
      <w:divBdr>
        <w:top w:val="none" w:sz="0" w:space="0" w:color="auto"/>
        <w:left w:val="none" w:sz="0" w:space="0" w:color="auto"/>
        <w:bottom w:val="none" w:sz="0" w:space="0" w:color="auto"/>
        <w:right w:val="none" w:sz="0" w:space="0" w:color="auto"/>
      </w:divBdr>
    </w:div>
    <w:div w:id="208034021">
      <w:bodyDiv w:val="1"/>
      <w:marLeft w:val="0"/>
      <w:marRight w:val="0"/>
      <w:marTop w:val="0"/>
      <w:marBottom w:val="0"/>
      <w:divBdr>
        <w:top w:val="none" w:sz="0" w:space="0" w:color="auto"/>
        <w:left w:val="none" w:sz="0" w:space="0" w:color="auto"/>
        <w:bottom w:val="none" w:sz="0" w:space="0" w:color="auto"/>
        <w:right w:val="none" w:sz="0" w:space="0" w:color="auto"/>
      </w:divBdr>
    </w:div>
    <w:div w:id="291134818">
      <w:bodyDiv w:val="1"/>
      <w:marLeft w:val="0"/>
      <w:marRight w:val="0"/>
      <w:marTop w:val="0"/>
      <w:marBottom w:val="0"/>
      <w:divBdr>
        <w:top w:val="none" w:sz="0" w:space="0" w:color="auto"/>
        <w:left w:val="none" w:sz="0" w:space="0" w:color="auto"/>
        <w:bottom w:val="none" w:sz="0" w:space="0" w:color="auto"/>
        <w:right w:val="none" w:sz="0" w:space="0" w:color="auto"/>
      </w:divBdr>
    </w:div>
    <w:div w:id="304895922">
      <w:bodyDiv w:val="1"/>
      <w:marLeft w:val="0"/>
      <w:marRight w:val="0"/>
      <w:marTop w:val="0"/>
      <w:marBottom w:val="0"/>
      <w:divBdr>
        <w:top w:val="none" w:sz="0" w:space="0" w:color="auto"/>
        <w:left w:val="none" w:sz="0" w:space="0" w:color="auto"/>
        <w:bottom w:val="none" w:sz="0" w:space="0" w:color="auto"/>
        <w:right w:val="none" w:sz="0" w:space="0" w:color="auto"/>
      </w:divBdr>
    </w:div>
    <w:div w:id="399138528">
      <w:bodyDiv w:val="1"/>
      <w:marLeft w:val="0"/>
      <w:marRight w:val="0"/>
      <w:marTop w:val="0"/>
      <w:marBottom w:val="0"/>
      <w:divBdr>
        <w:top w:val="none" w:sz="0" w:space="0" w:color="auto"/>
        <w:left w:val="none" w:sz="0" w:space="0" w:color="auto"/>
        <w:bottom w:val="none" w:sz="0" w:space="0" w:color="auto"/>
        <w:right w:val="none" w:sz="0" w:space="0" w:color="auto"/>
      </w:divBdr>
    </w:div>
    <w:div w:id="581567909">
      <w:bodyDiv w:val="1"/>
      <w:marLeft w:val="0"/>
      <w:marRight w:val="0"/>
      <w:marTop w:val="0"/>
      <w:marBottom w:val="0"/>
      <w:divBdr>
        <w:top w:val="none" w:sz="0" w:space="0" w:color="auto"/>
        <w:left w:val="none" w:sz="0" w:space="0" w:color="auto"/>
        <w:bottom w:val="none" w:sz="0" w:space="0" w:color="auto"/>
        <w:right w:val="none" w:sz="0" w:space="0" w:color="auto"/>
      </w:divBdr>
    </w:div>
    <w:div w:id="619650921">
      <w:bodyDiv w:val="1"/>
      <w:marLeft w:val="0"/>
      <w:marRight w:val="0"/>
      <w:marTop w:val="0"/>
      <w:marBottom w:val="0"/>
      <w:divBdr>
        <w:top w:val="none" w:sz="0" w:space="0" w:color="auto"/>
        <w:left w:val="none" w:sz="0" w:space="0" w:color="auto"/>
        <w:bottom w:val="none" w:sz="0" w:space="0" w:color="auto"/>
        <w:right w:val="none" w:sz="0" w:space="0" w:color="auto"/>
      </w:divBdr>
    </w:div>
    <w:div w:id="832718511">
      <w:bodyDiv w:val="1"/>
      <w:marLeft w:val="0"/>
      <w:marRight w:val="0"/>
      <w:marTop w:val="0"/>
      <w:marBottom w:val="0"/>
      <w:divBdr>
        <w:top w:val="none" w:sz="0" w:space="0" w:color="auto"/>
        <w:left w:val="none" w:sz="0" w:space="0" w:color="auto"/>
        <w:bottom w:val="none" w:sz="0" w:space="0" w:color="auto"/>
        <w:right w:val="none" w:sz="0" w:space="0" w:color="auto"/>
      </w:divBdr>
    </w:div>
    <w:div w:id="988249760">
      <w:bodyDiv w:val="1"/>
      <w:marLeft w:val="0"/>
      <w:marRight w:val="0"/>
      <w:marTop w:val="0"/>
      <w:marBottom w:val="0"/>
      <w:divBdr>
        <w:top w:val="none" w:sz="0" w:space="0" w:color="auto"/>
        <w:left w:val="none" w:sz="0" w:space="0" w:color="auto"/>
        <w:bottom w:val="none" w:sz="0" w:space="0" w:color="auto"/>
        <w:right w:val="none" w:sz="0" w:space="0" w:color="auto"/>
      </w:divBdr>
    </w:div>
    <w:div w:id="1026516768">
      <w:bodyDiv w:val="1"/>
      <w:marLeft w:val="0"/>
      <w:marRight w:val="0"/>
      <w:marTop w:val="0"/>
      <w:marBottom w:val="0"/>
      <w:divBdr>
        <w:top w:val="none" w:sz="0" w:space="0" w:color="auto"/>
        <w:left w:val="none" w:sz="0" w:space="0" w:color="auto"/>
        <w:bottom w:val="none" w:sz="0" w:space="0" w:color="auto"/>
        <w:right w:val="none" w:sz="0" w:space="0" w:color="auto"/>
      </w:divBdr>
    </w:div>
    <w:div w:id="1089426797">
      <w:bodyDiv w:val="1"/>
      <w:marLeft w:val="0"/>
      <w:marRight w:val="0"/>
      <w:marTop w:val="0"/>
      <w:marBottom w:val="0"/>
      <w:divBdr>
        <w:top w:val="none" w:sz="0" w:space="0" w:color="auto"/>
        <w:left w:val="none" w:sz="0" w:space="0" w:color="auto"/>
        <w:bottom w:val="none" w:sz="0" w:space="0" w:color="auto"/>
        <w:right w:val="none" w:sz="0" w:space="0" w:color="auto"/>
      </w:divBdr>
    </w:div>
    <w:div w:id="1396322303">
      <w:bodyDiv w:val="1"/>
      <w:marLeft w:val="0"/>
      <w:marRight w:val="0"/>
      <w:marTop w:val="0"/>
      <w:marBottom w:val="0"/>
      <w:divBdr>
        <w:top w:val="none" w:sz="0" w:space="0" w:color="auto"/>
        <w:left w:val="none" w:sz="0" w:space="0" w:color="auto"/>
        <w:bottom w:val="none" w:sz="0" w:space="0" w:color="auto"/>
        <w:right w:val="none" w:sz="0" w:space="0" w:color="auto"/>
      </w:divBdr>
    </w:div>
    <w:div w:id="1633363215">
      <w:bodyDiv w:val="1"/>
      <w:marLeft w:val="0"/>
      <w:marRight w:val="0"/>
      <w:marTop w:val="0"/>
      <w:marBottom w:val="0"/>
      <w:divBdr>
        <w:top w:val="none" w:sz="0" w:space="0" w:color="auto"/>
        <w:left w:val="none" w:sz="0" w:space="0" w:color="auto"/>
        <w:bottom w:val="none" w:sz="0" w:space="0" w:color="auto"/>
        <w:right w:val="none" w:sz="0" w:space="0" w:color="auto"/>
      </w:divBdr>
    </w:div>
    <w:div w:id="1810897741">
      <w:bodyDiv w:val="1"/>
      <w:marLeft w:val="0"/>
      <w:marRight w:val="0"/>
      <w:marTop w:val="0"/>
      <w:marBottom w:val="0"/>
      <w:divBdr>
        <w:top w:val="none" w:sz="0" w:space="0" w:color="auto"/>
        <w:left w:val="none" w:sz="0" w:space="0" w:color="auto"/>
        <w:bottom w:val="none" w:sz="0" w:space="0" w:color="auto"/>
        <w:right w:val="none" w:sz="0" w:space="0" w:color="auto"/>
      </w:divBdr>
    </w:div>
    <w:div w:id="1841702399">
      <w:bodyDiv w:val="1"/>
      <w:marLeft w:val="0"/>
      <w:marRight w:val="0"/>
      <w:marTop w:val="0"/>
      <w:marBottom w:val="0"/>
      <w:divBdr>
        <w:top w:val="none" w:sz="0" w:space="0" w:color="auto"/>
        <w:left w:val="none" w:sz="0" w:space="0" w:color="auto"/>
        <w:bottom w:val="none" w:sz="0" w:space="0" w:color="auto"/>
        <w:right w:val="none" w:sz="0" w:space="0" w:color="auto"/>
      </w:divBdr>
    </w:div>
    <w:div w:id="1860897277">
      <w:bodyDiv w:val="1"/>
      <w:marLeft w:val="0"/>
      <w:marRight w:val="0"/>
      <w:marTop w:val="0"/>
      <w:marBottom w:val="0"/>
      <w:divBdr>
        <w:top w:val="none" w:sz="0" w:space="0" w:color="auto"/>
        <w:left w:val="none" w:sz="0" w:space="0" w:color="auto"/>
        <w:bottom w:val="none" w:sz="0" w:space="0" w:color="auto"/>
        <w:right w:val="none" w:sz="0" w:space="0" w:color="auto"/>
      </w:divBdr>
    </w:div>
    <w:div w:id="1946770228">
      <w:bodyDiv w:val="1"/>
      <w:marLeft w:val="0"/>
      <w:marRight w:val="0"/>
      <w:marTop w:val="0"/>
      <w:marBottom w:val="0"/>
      <w:divBdr>
        <w:top w:val="none" w:sz="0" w:space="0" w:color="auto"/>
        <w:left w:val="none" w:sz="0" w:space="0" w:color="auto"/>
        <w:bottom w:val="none" w:sz="0" w:space="0" w:color="auto"/>
        <w:right w:val="none" w:sz="0" w:space="0" w:color="auto"/>
      </w:divBdr>
    </w:div>
    <w:div w:id="20441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onlinelibrary.wiley.com/doi/10.1038/sj.bjp.0704848/fu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rmlandbirds.net/sites/default/files/Iwasa2004.pdf" TargetMode="External"/><Relationship Id="rId2" Type="http://schemas.openxmlformats.org/officeDocument/2006/relationships/numbering" Target="numbering.xml"/><Relationship Id="rId16" Type="http://schemas.openxmlformats.org/officeDocument/2006/relationships/hyperlink" Target="http://www.sciencedirect.com/science/article/pii/S0028390803001345" TargetMode="External"/><Relationship Id="rId20" Type="http://schemas.openxmlformats.org/officeDocument/2006/relationships/hyperlink" Target="https://www.clinicalk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esearchgate.net/profile/Monique_Gauthier/publication/45950074_State_of_the_art_on_insect_nicotinic_acetylcholine_receptor_function_in_learning_and_memory/links/0c96053a5918baeabf000000.pdf" TargetMode="External"/><Relationship Id="rId10" Type="http://schemas.openxmlformats.org/officeDocument/2006/relationships/image" Target="media/image3.png"/><Relationship Id="rId19" Type="http://schemas.openxmlformats.org/officeDocument/2006/relationships/hyperlink" Target="http://onlinelibrary.wiley.com/doi/10.1002/etc.5620201113/abstr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tor.org/stable/27852344?seq=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A669-4D81-4EA1-9C74-FB980AEE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14477</TotalTime>
  <Pages>7</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Kalish</dc:creator>
  <cp:keywords/>
  <dc:description/>
  <cp:lastModifiedBy>Robert Kalish</cp:lastModifiedBy>
  <cp:revision>24</cp:revision>
  <dcterms:created xsi:type="dcterms:W3CDTF">2016-03-24T13:44:00Z</dcterms:created>
  <dcterms:modified xsi:type="dcterms:W3CDTF">2016-05-04T20:35:00Z</dcterms:modified>
</cp:coreProperties>
</file>