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1" w:rsidRPr="007D0567" w:rsidRDefault="00551DC1" w:rsidP="00551D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D0567">
        <w:rPr>
          <w:rFonts w:eastAsia="Times New Roman"/>
          <w:b/>
          <w:bCs/>
          <w:sz w:val="28"/>
          <w:szCs w:val="28"/>
        </w:rPr>
        <w:t>Making Statistics More Effective in Schools of Business</w:t>
      </w:r>
    </w:p>
    <w:p w:rsidR="00551DC1" w:rsidRPr="007D0567" w:rsidRDefault="00551DC1" w:rsidP="00551D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D0567">
        <w:rPr>
          <w:rFonts w:eastAsia="Times New Roman"/>
          <w:b/>
          <w:bCs/>
          <w:sz w:val="28"/>
          <w:szCs w:val="28"/>
        </w:rPr>
        <w:t>DSI Specific Interest Group</w:t>
      </w:r>
      <w:r w:rsidR="007D0567" w:rsidRPr="007D0567">
        <w:rPr>
          <w:rFonts w:eastAsia="Times New Roman"/>
          <w:b/>
          <w:bCs/>
          <w:sz w:val="28"/>
          <w:szCs w:val="28"/>
        </w:rPr>
        <w:t xml:space="preserve"> Report</w:t>
      </w:r>
      <w:r w:rsidR="007D0567">
        <w:rPr>
          <w:rFonts w:eastAsia="Times New Roman"/>
          <w:b/>
          <w:bCs/>
          <w:sz w:val="28"/>
          <w:szCs w:val="28"/>
        </w:rPr>
        <w:t>,</w:t>
      </w:r>
      <w:r w:rsidR="007D0567" w:rsidRPr="007D0567">
        <w:rPr>
          <w:rFonts w:eastAsia="Times New Roman"/>
          <w:b/>
          <w:bCs/>
          <w:sz w:val="28"/>
          <w:szCs w:val="28"/>
        </w:rPr>
        <w:t xml:space="preserve"> November 2014</w:t>
      </w:r>
    </w:p>
    <w:p w:rsidR="00551DC1" w:rsidRPr="007D0567" w:rsidRDefault="00551DC1" w:rsidP="00551DC1">
      <w:pPr>
        <w:shd w:val="clear" w:color="auto" w:fill="FFFFFF"/>
        <w:rPr>
          <w:rFonts w:eastAsia="Times New Roman"/>
          <w:sz w:val="16"/>
          <w:szCs w:val="16"/>
        </w:rPr>
      </w:pPr>
      <w:r w:rsidRPr="00B96294">
        <w:rPr>
          <w:rFonts w:eastAsia="Times New Roman"/>
          <w:sz w:val="16"/>
          <w:szCs w:val="16"/>
        </w:rPr>
        <w:t xml:space="preserve"> </w:t>
      </w:r>
    </w:p>
    <w:p w:rsidR="00551DC1" w:rsidRPr="00B96294" w:rsidRDefault="00D30ABF" w:rsidP="00551DC1">
      <w:pPr>
        <w:shd w:val="clear" w:color="auto" w:fill="FFFFFF"/>
        <w:spacing w:line="210" w:lineRule="atLeast"/>
        <w:rPr>
          <w:rFonts w:eastAsia="Times New Roman"/>
        </w:rPr>
      </w:pPr>
      <w:r w:rsidRPr="00B96294">
        <w:rPr>
          <w:rFonts w:eastAsia="Times New Roman"/>
        </w:rPr>
        <w:t>At the 2014 DSI meeting in Tampa, a</w:t>
      </w:r>
      <w:r w:rsidR="00551DC1" w:rsidRPr="00B96294">
        <w:rPr>
          <w:rFonts w:eastAsia="Times New Roman"/>
        </w:rPr>
        <w:t xml:space="preserve"> total of </w:t>
      </w:r>
      <w:r w:rsidR="00383BCE" w:rsidRPr="00B96294">
        <w:rPr>
          <w:rFonts w:eastAsia="Times New Roman"/>
        </w:rPr>
        <w:t>8</w:t>
      </w:r>
      <w:r w:rsidR="00551DC1" w:rsidRPr="00B96294">
        <w:rPr>
          <w:rFonts w:eastAsia="Times New Roman"/>
        </w:rPr>
        <w:t xml:space="preserve"> sessions were organized for the Making Statistics More Effective in Schools of Business (MSMESB) Specific Interest Group (SIG).  </w:t>
      </w:r>
      <w:r w:rsidR="00383BCE" w:rsidRPr="00B96294">
        <w:rPr>
          <w:rFonts w:eastAsia="Times New Roman"/>
        </w:rPr>
        <w:t xml:space="preserve">The </w:t>
      </w:r>
      <w:r w:rsidR="00551DC1" w:rsidRPr="00B96294">
        <w:rPr>
          <w:rFonts w:eastAsia="Times New Roman"/>
        </w:rPr>
        <w:t xml:space="preserve">average attendance </w:t>
      </w:r>
      <w:r w:rsidR="00383BCE" w:rsidRPr="00B96294">
        <w:rPr>
          <w:rFonts w:eastAsia="Times New Roman"/>
        </w:rPr>
        <w:t>for the 8 sessions was 26</w:t>
      </w:r>
      <w:r w:rsidR="00551DC1" w:rsidRPr="00B96294">
        <w:rPr>
          <w:rFonts w:eastAsia="Times New Roman"/>
        </w:rPr>
        <w:t>.6</w:t>
      </w:r>
      <w:r w:rsidR="000C1456" w:rsidRPr="00B96294">
        <w:rPr>
          <w:rFonts w:eastAsia="Times New Roman"/>
        </w:rPr>
        <w:t xml:space="preserve">.  </w:t>
      </w:r>
      <w:r w:rsidR="00551DC1" w:rsidRPr="00B96294">
        <w:rPr>
          <w:rFonts w:eastAsia="Times New Roman"/>
        </w:rPr>
        <w:t xml:space="preserve">Attendance by session is recorded below.  We </w:t>
      </w:r>
      <w:r w:rsidR="000C1456" w:rsidRPr="00B96294">
        <w:rPr>
          <w:rFonts w:eastAsia="Times New Roman"/>
        </w:rPr>
        <w:t xml:space="preserve">were pleased to have the same room for all of our sessions and our numbers after the first three sessions </w:t>
      </w:r>
      <w:r w:rsidRPr="00B96294">
        <w:rPr>
          <w:rFonts w:eastAsia="Times New Roman"/>
        </w:rPr>
        <w:t xml:space="preserve">clearly </w:t>
      </w:r>
      <w:r w:rsidR="000C1456" w:rsidRPr="00B96294">
        <w:rPr>
          <w:rFonts w:eastAsia="Times New Roman"/>
        </w:rPr>
        <w:t>ju</w:t>
      </w:r>
      <w:r w:rsidR="00B96294" w:rsidRPr="00B96294">
        <w:rPr>
          <w:rFonts w:eastAsia="Times New Roman"/>
        </w:rPr>
        <w:t>stified giving us a large room.</w:t>
      </w:r>
    </w:p>
    <w:p w:rsidR="00383BCE" w:rsidRPr="00B96294" w:rsidRDefault="00383BCE" w:rsidP="00551DC1">
      <w:pPr>
        <w:shd w:val="clear" w:color="auto" w:fill="FFFFFF"/>
        <w:spacing w:line="210" w:lineRule="atLeast"/>
        <w:rPr>
          <w:rFonts w:eastAsia="Times New Roman"/>
          <w:sz w:val="16"/>
          <w:szCs w:val="16"/>
        </w:rPr>
      </w:pPr>
    </w:p>
    <w:tbl>
      <w:tblPr>
        <w:tblW w:w="10710" w:type="dxa"/>
        <w:tblInd w:w="234" w:type="dxa"/>
        <w:tblLook w:val="04A0" w:firstRow="1" w:lastRow="0" w:firstColumn="1" w:lastColumn="0" w:noHBand="0" w:noVBand="1"/>
      </w:tblPr>
      <w:tblGrid>
        <w:gridCol w:w="1061"/>
        <w:gridCol w:w="73"/>
        <w:gridCol w:w="1638"/>
        <w:gridCol w:w="7938"/>
      </w:tblGrid>
      <w:tr w:rsidR="00383BCE" w:rsidRPr="000E51AE" w:rsidTr="000424D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BCE" w:rsidRPr="000E51AE" w:rsidRDefault="00383BCE" w:rsidP="000424D6">
            <w:pPr>
              <w:ind w:left="-216" w:right="161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E51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BCE" w:rsidRPr="000E51AE" w:rsidRDefault="00383BCE" w:rsidP="00B96294">
            <w:pPr>
              <w:ind w:right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E51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BCE" w:rsidRPr="000E51AE" w:rsidRDefault="00383BCE" w:rsidP="00B96294">
            <w:pPr>
              <w:ind w:right="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E51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Sat, 8:30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>Impact of New MAA and ASA Statistics Guidelines on the Undergraduate Business Curriculum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Sat, 10:30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>Using Technology to Provide Better Instruction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Sat, 1:00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0E51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 xml:space="preserve">Tips for </w:t>
            </w:r>
            <w:r w:rsidR="000E51AE">
              <w:rPr>
                <w:rFonts w:eastAsia="Times New Roman"/>
                <w:color w:val="000000"/>
                <w:sz w:val="20"/>
                <w:szCs w:val="20"/>
              </w:rPr>
              <w:t>&amp;</w:t>
            </w:r>
            <w:r w:rsidRPr="00AB3066">
              <w:rPr>
                <w:rFonts w:eastAsia="Times New Roman"/>
                <w:color w:val="000000"/>
                <w:sz w:val="20"/>
                <w:szCs w:val="20"/>
              </w:rPr>
              <w:t xml:space="preserve"> Experiences with Improving the Learning Experience in </w:t>
            </w:r>
            <w:r w:rsidR="000E51AE">
              <w:rPr>
                <w:rFonts w:eastAsia="Times New Roman"/>
                <w:color w:val="000000"/>
                <w:sz w:val="20"/>
                <w:szCs w:val="20"/>
              </w:rPr>
              <w:t>&amp;</w:t>
            </w:r>
            <w:r w:rsidRPr="00AB3066">
              <w:rPr>
                <w:rFonts w:eastAsia="Times New Roman"/>
                <w:color w:val="000000"/>
                <w:sz w:val="20"/>
                <w:szCs w:val="20"/>
              </w:rPr>
              <w:t xml:space="preserve"> Teaching of Introductory Business Statistics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Sat, 3:0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0pm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 xml:space="preserve">Software Oriented Advice for Analytics from Practicing Professionals 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Sat, 4:30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>Educational Issues around Preparing Students for Analytics, Big Data and Data Science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Sun, 8:30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>Building a Business Analytics Program</w:t>
            </w:r>
          </w:p>
        </w:tc>
      </w:tr>
      <w:tr w:rsidR="00383BCE" w:rsidRPr="00383BCE" w:rsidTr="000424D6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Sun, 3:00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>Providing Analytics Skills to Give Students a Competitive Edge in Business</w:t>
            </w:r>
          </w:p>
        </w:tc>
      </w:tr>
      <w:tr w:rsidR="00383BCE" w:rsidRPr="00383BCE" w:rsidTr="000424D6">
        <w:trPr>
          <w:trHeight w:val="330"/>
        </w:trPr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B96294">
            <w:pPr>
              <w:ind w:right="90"/>
              <w:rPr>
                <w:rFonts w:eastAsia="Times New Roman"/>
                <w:color w:val="000000"/>
                <w:sz w:val="24"/>
                <w:szCs w:val="24"/>
              </w:rPr>
            </w:pPr>
            <w:r w:rsidRPr="00383B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Mon, 3:00</w:t>
            </w:r>
            <w:r w:rsidRPr="00383BCE">
              <w:rPr>
                <w:rFonts w:eastAsia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9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AB3066" w:rsidRDefault="00383BCE" w:rsidP="00383B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3066">
              <w:rPr>
                <w:rFonts w:eastAsia="Times New Roman"/>
                <w:color w:val="000000"/>
                <w:sz w:val="20"/>
                <w:szCs w:val="20"/>
              </w:rPr>
              <w:t xml:space="preserve">Business Statistics Education: An Interactive Audience Participatory </w:t>
            </w:r>
            <w:proofErr w:type="spellStart"/>
            <w:r w:rsidRPr="00AB3066">
              <w:rPr>
                <w:rFonts w:eastAsia="Times New Roman"/>
                <w:color w:val="000000"/>
                <w:sz w:val="20"/>
                <w:szCs w:val="20"/>
              </w:rPr>
              <w:t>Unsession</w:t>
            </w:r>
            <w:proofErr w:type="spellEnd"/>
          </w:p>
        </w:tc>
      </w:tr>
      <w:tr w:rsidR="00383BCE" w:rsidRPr="00383BCE" w:rsidTr="000424D6">
        <w:trPr>
          <w:trHeight w:val="33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BCE" w:rsidRPr="00383BCE" w:rsidRDefault="00383BCE" w:rsidP="00B96294">
            <w:pPr>
              <w:ind w:left="-216" w:right="161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383BC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26.625</w:t>
            </w: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BCE" w:rsidRPr="00383BCE" w:rsidRDefault="00383BCE" w:rsidP="00383BCE">
            <w:pPr>
              <w:rPr>
                <w:rFonts w:eastAsia="Times New Roman"/>
                <w:color w:val="000000"/>
              </w:rPr>
            </w:pPr>
            <w:r w:rsidRPr="00383BCE">
              <w:rPr>
                <w:rFonts w:eastAsia="Times New Roman"/>
                <w:color w:val="000000"/>
              </w:rPr>
              <w:t>Average Attendance per session</w:t>
            </w:r>
          </w:p>
        </w:tc>
      </w:tr>
    </w:tbl>
    <w:p w:rsidR="00383BCE" w:rsidRPr="00B96294" w:rsidRDefault="00383BCE" w:rsidP="00551DC1">
      <w:pPr>
        <w:shd w:val="clear" w:color="auto" w:fill="FFFFFF"/>
        <w:spacing w:line="210" w:lineRule="atLeast"/>
        <w:rPr>
          <w:rFonts w:eastAsia="Times New Roman"/>
          <w:sz w:val="16"/>
          <w:szCs w:val="16"/>
        </w:rPr>
      </w:pPr>
    </w:p>
    <w:p w:rsidR="00AB3066" w:rsidRPr="00B96294" w:rsidRDefault="00551DC1" w:rsidP="00551DC1">
      <w:pPr>
        <w:shd w:val="clear" w:color="auto" w:fill="FFFFFF"/>
        <w:spacing w:line="210" w:lineRule="atLeast"/>
        <w:rPr>
          <w:rFonts w:eastAsia="Times New Roman"/>
        </w:rPr>
      </w:pPr>
      <w:r w:rsidRPr="00B96294">
        <w:rPr>
          <w:rFonts w:eastAsia="Times New Roman"/>
        </w:rPr>
        <w:t xml:space="preserve">A MSMESB </w:t>
      </w:r>
      <w:r w:rsidR="000C1456" w:rsidRPr="00B96294">
        <w:rPr>
          <w:rFonts w:eastAsia="Times New Roman"/>
        </w:rPr>
        <w:t>SIG</w:t>
      </w:r>
      <w:r w:rsidRPr="00B96294">
        <w:rPr>
          <w:rFonts w:eastAsia="Times New Roman"/>
        </w:rPr>
        <w:t xml:space="preserve"> </w:t>
      </w:r>
      <w:r w:rsidR="00F16EC1" w:rsidRPr="00B96294">
        <w:rPr>
          <w:rFonts w:eastAsia="Times New Roman"/>
        </w:rPr>
        <w:t xml:space="preserve">business/caucus </w:t>
      </w:r>
      <w:r w:rsidRPr="00B96294">
        <w:rPr>
          <w:rFonts w:eastAsia="Times New Roman"/>
        </w:rPr>
        <w:t xml:space="preserve">meeting was held at </w:t>
      </w:r>
      <w:r w:rsidR="000C1456" w:rsidRPr="00B96294">
        <w:rPr>
          <w:rFonts w:eastAsia="Times New Roman"/>
        </w:rPr>
        <w:t>4:30</w:t>
      </w:r>
      <w:r w:rsidRPr="00B96294">
        <w:rPr>
          <w:rFonts w:eastAsia="Times New Roman"/>
        </w:rPr>
        <w:t xml:space="preserve"> PM on Monday after all of </w:t>
      </w:r>
      <w:r w:rsidR="000C1456" w:rsidRPr="00B96294">
        <w:rPr>
          <w:rFonts w:eastAsia="Times New Roman"/>
        </w:rPr>
        <w:t>our</w:t>
      </w:r>
      <w:r w:rsidRPr="00B96294">
        <w:rPr>
          <w:rFonts w:eastAsia="Times New Roman"/>
        </w:rPr>
        <w:t xml:space="preserve"> other sessions.  </w:t>
      </w:r>
      <w:r w:rsidR="000C1456" w:rsidRPr="00B96294">
        <w:rPr>
          <w:rFonts w:eastAsia="Times New Roman"/>
        </w:rPr>
        <w:t>Twelve members attended.</w:t>
      </w:r>
      <w:r w:rsidR="00F16EC1" w:rsidRPr="00B96294">
        <w:rPr>
          <w:rFonts w:eastAsia="Times New Roman"/>
        </w:rPr>
        <w:t xml:space="preserve"> </w:t>
      </w:r>
      <w:r w:rsidR="00EA0E4C" w:rsidRPr="00B96294">
        <w:rPr>
          <w:rFonts w:eastAsia="Times New Roman"/>
        </w:rPr>
        <w:t xml:space="preserve"> </w:t>
      </w:r>
      <w:r w:rsidR="00F16EC1" w:rsidRPr="00B96294">
        <w:rPr>
          <w:rFonts w:eastAsia="Times New Roman"/>
        </w:rPr>
        <w:t xml:space="preserve">We took the opportunity to have </w:t>
      </w:r>
      <w:r w:rsidR="006B46FE" w:rsidRPr="00B96294">
        <w:rPr>
          <w:rFonts w:eastAsia="Times New Roman"/>
        </w:rPr>
        <w:t xml:space="preserve">each </w:t>
      </w:r>
      <w:r w:rsidR="00F16EC1" w:rsidRPr="00B96294">
        <w:rPr>
          <w:rFonts w:eastAsia="Times New Roman"/>
        </w:rPr>
        <w:t>person to introduce themselves and tell of their</w:t>
      </w:r>
      <w:r w:rsidR="00EA0E4C" w:rsidRPr="00B96294">
        <w:rPr>
          <w:rFonts w:eastAsia="Times New Roman"/>
        </w:rPr>
        <w:t xml:space="preserve"> </w:t>
      </w:r>
      <w:r w:rsidR="000424D6">
        <w:rPr>
          <w:rFonts w:eastAsia="Times New Roman"/>
        </w:rPr>
        <w:t xml:space="preserve">experience and </w:t>
      </w:r>
      <w:r w:rsidR="00EA0E4C" w:rsidRPr="00B96294">
        <w:rPr>
          <w:rFonts w:eastAsia="Times New Roman"/>
        </w:rPr>
        <w:t xml:space="preserve">interest in the MSMESB SIG.  </w:t>
      </w:r>
      <w:r w:rsidR="00AB3066" w:rsidRPr="00B96294">
        <w:rPr>
          <w:rFonts w:eastAsia="Times New Roman"/>
        </w:rPr>
        <w:t xml:space="preserve">We recognized John McKenzie during the last session on Sunday for all of the effort he has put into </w:t>
      </w:r>
      <w:r w:rsidR="007D0567">
        <w:rPr>
          <w:rFonts w:eastAsia="Times New Roman"/>
        </w:rPr>
        <w:t xml:space="preserve">bringing </w:t>
      </w:r>
      <w:r w:rsidR="00AB3066" w:rsidRPr="00B96294">
        <w:rPr>
          <w:rFonts w:eastAsia="Times New Roman"/>
        </w:rPr>
        <w:t>the MSMESB sessions to DSI after the cessation of holding stand-alone meetings</w:t>
      </w:r>
      <w:r w:rsidR="007D0567">
        <w:rPr>
          <w:rFonts w:eastAsia="Times New Roman"/>
        </w:rPr>
        <w:t>.  S</w:t>
      </w:r>
      <w:r w:rsidR="00AB3066" w:rsidRPr="00B96294">
        <w:rPr>
          <w:rFonts w:eastAsia="Times New Roman"/>
        </w:rPr>
        <w:t>everal people attested to John’s contributions during their time of participating in MSMESB sessions</w:t>
      </w:r>
      <w:r w:rsidR="007D0567">
        <w:rPr>
          <w:rFonts w:eastAsia="Times New Roman"/>
        </w:rPr>
        <w:t>.</w:t>
      </w:r>
    </w:p>
    <w:p w:rsidR="000424D6" w:rsidRPr="00B96294" w:rsidRDefault="000424D6" w:rsidP="000424D6">
      <w:pPr>
        <w:shd w:val="clear" w:color="auto" w:fill="FFFFFF"/>
        <w:spacing w:line="210" w:lineRule="atLeast"/>
        <w:rPr>
          <w:rFonts w:eastAsia="Times New Roman"/>
          <w:sz w:val="16"/>
          <w:szCs w:val="16"/>
        </w:rPr>
      </w:pPr>
      <w:bookmarkStart w:id="0" w:name="_GoBack"/>
      <w:bookmarkEnd w:id="0"/>
    </w:p>
    <w:p w:rsidR="00551DC1" w:rsidRPr="00B96294" w:rsidRDefault="00EA0E4C" w:rsidP="00551DC1">
      <w:pPr>
        <w:shd w:val="clear" w:color="auto" w:fill="FFFFFF"/>
        <w:spacing w:line="210" w:lineRule="atLeast"/>
        <w:rPr>
          <w:rFonts w:eastAsia="Times New Roman"/>
        </w:rPr>
      </w:pPr>
      <w:r w:rsidRPr="00B96294">
        <w:rPr>
          <w:rFonts w:eastAsia="Times New Roman"/>
        </w:rPr>
        <w:t xml:space="preserve">We followed with a discussion of what we should do as we move forward.  </w:t>
      </w:r>
      <w:r w:rsidR="00551DC1" w:rsidRPr="00B96294">
        <w:rPr>
          <w:rFonts w:eastAsia="Times New Roman"/>
        </w:rPr>
        <w:t xml:space="preserve">Bob Andrews and Kellie </w:t>
      </w:r>
      <w:r w:rsidR="006B46FE" w:rsidRPr="00B96294">
        <w:rPr>
          <w:rFonts w:eastAsia="Times New Roman"/>
        </w:rPr>
        <w:t>Keeling agreed to serve again as</w:t>
      </w:r>
      <w:r w:rsidR="00551DC1" w:rsidRPr="00B96294">
        <w:rPr>
          <w:rFonts w:eastAsia="Times New Roman"/>
        </w:rPr>
        <w:t xml:space="preserve"> </w:t>
      </w:r>
      <w:r w:rsidR="006B46FE" w:rsidRPr="00B96294">
        <w:rPr>
          <w:rFonts w:eastAsia="Times New Roman"/>
        </w:rPr>
        <w:t xml:space="preserve">MSMESB </w:t>
      </w:r>
      <w:r w:rsidR="00551DC1" w:rsidRPr="00B96294">
        <w:rPr>
          <w:rFonts w:eastAsia="Times New Roman"/>
        </w:rPr>
        <w:t>co-chair</w:t>
      </w:r>
      <w:r w:rsidR="006B46FE" w:rsidRPr="00B96294">
        <w:rPr>
          <w:rFonts w:eastAsia="Times New Roman"/>
        </w:rPr>
        <w:t>s</w:t>
      </w:r>
      <w:r w:rsidR="00551DC1" w:rsidRPr="00B96294">
        <w:rPr>
          <w:rFonts w:eastAsia="Times New Roman"/>
        </w:rPr>
        <w:t xml:space="preserve"> for DSI 201</w:t>
      </w:r>
      <w:r w:rsidRPr="00B96294">
        <w:rPr>
          <w:rFonts w:eastAsia="Times New Roman"/>
        </w:rPr>
        <w:t>5</w:t>
      </w:r>
      <w:r w:rsidR="006B46FE" w:rsidRPr="00B96294">
        <w:rPr>
          <w:rFonts w:eastAsia="Times New Roman"/>
        </w:rPr>
        <w:t xml:space="preserve">.  </w:t>
      </w:r>
      <w:r w:rsidRPr="00B96294">
        <w:rPr>
          <w:rFonts w:eastAsia="Times New Roman"/>
        </w:rPr>
        <w:t xml:space="preserve">Linda Boardman, David Levine and Bob </w:t>
      </w:r>
      <w:proofErr w:type="spellStart"/>
      <w:r w:rsidRPr="00B96294">
        <w:rPr>
          <w:rFonts w:eastAsia="Times New Roman"/>
        </w:rPr>
        <w:t>McQuaid</w:t>
      </w:r>
      <w:proofErr w:type="spellEnd"/>
      <w:r w:rsidRPr="00B96294">
        <w:rPr>
          <w:rFonts w:eastAsia="Times New Roman"/>
        </w:rPr>
        <w:t xml:space="preserve"> </w:t>
      </w:r>
      <w:r w:rsidR="006B46FE" w:rsidRPr="00B96294">
        <w:rPr>
          <w:rFonts w:eastAsia="Times New Roman"/>
        </w:rPr>
        <w:t>agreed to assist with</w:t>
      </w:r>
      <w:r w:rsidRPr="00B96294">
        <w:rPr>
          <w:rFonts w:eastAsia="Times New Roman"/>
        </w:rPr>
        <w:t xml:space="preserve"> program development and be part of the program committee</w:t>
      </w:r>
      <w:r w:rsidR="00551DC1" w:rsidRPr="00B96294">
        <w:rPr>
          <w:rFonts w:eastAsia="Times New Roman"/>
        </w:rPr>
        <w:t xml:space="preserve">.  </w:t>
      </w:r>
      <w:r w:rsidR="006B46FE" w:rsidRPr="00B96294">
        <w:rPr>
          <w:rFonts w:eastAsia="Times New Roman"/>
        </w:rPr>
        <w:t>I</w:t>
      </w:r>
      <w:r w:rsidRPr="00B96294">
        <w:rPr>
          <w:rFonts w:eastAsia="Times New Roman"/>
        </w:rPr>
        <w:t xml:space="preserve">t is often important to </w:t>
      </w:r>
      <w:r w:rsidR="006B46FE" w:rsidRPr="00B96294">
        <w:rPr>
          <w:rFonts w:eastAsia="Times New Roman"/>
        </w:rPr>
        <w:t xml:space="preserve">have </w:t>
      </w:r>
      <w:r w:rsidRPr="00B96294">
        <w:rPr>
          <w:rFonts w:eastAsia="Times New Roman"/>
        </w:rPr>
        <w:t>titles for positions when claim</w:t>
      </w:r>
      <w:r w:rsidR="006B46FE" w:rsidRPr="00B96294">
        <w:rPr>
          <w:rFonts w:eastAsia="Times New Roman"/>
        </w:rPr>
        <w:t xml:space="preserve">ing the </w:t>
      </w:r>
      <w:r w:rsidRPr="00B96294">
        <w:rPr>
          <w:rFonts w:eastAsia="Times New Roman"/>
        </w:rPr>
        <w:t>activity for service contributions</w:t>
      </w:r>
      <w:r w:rsidR="006B46FE" w:rsidRPr="00B96294">
        <w:rPr>
          <w:rFonts w:eastAsia="Times New Roman"/>
        </w:rPr>
        <w:t>.  T</w:t>
      </w:r>
      <w:r w:rsidRPr="00B96294">
        <w:rPr>
          <w:rFonts w:eastAsia="Times New Roman"/>
        </w:rPr>
        <w:t xml:space="preserve">he group asked Bob </w:t>
      </w:r>
      <w:proofErr w:type="spellStart"/>
      <w:r w:rsidRPr="00B96294">
        <w:rPr>
          <w:rFonts w:eastAsia="Times New Roman"/>
        </w:rPr>
        <w:t>McQuaid</w:t>
      </w:r>
      <w:proofErr w:type="spellEnd"/>
      <w:r w:rsidRPr="00B96294">
        <w:rPr>
          <w:rFonts w:eastAsia="Times New Roman"/>
        </w:rPr>
        <w:t xml:space="preserve"> to become the DSI MSMESB SIG We</w:t>
      </w:r>
      <w:r w:rsidR="00661880" w:rsidRPr="00B96294">
        <w:rPr>
          <w:rFonts w:eastAsia="Times New Roman"/>
        </w:rPr>
        <w:t>b Analyti</w:t>
      </w:r>
      <w:r w:rsidR="006B46FE" w:rsidRPr="00B96294">
        <w:rPr>
          <w:rFonts w:eastAsia="Times New Roman"/>
        </w:rPr>
        <w:t xml:space="preserve">cs Director and Milo </w:t>
      </w:r>
      <w:proofErr w:type="spellStart"/>
      <w:r w:rsidR="006B46FE" w:rsidRPr="00B96294">
        <w:rPr>
          <w:rFonts w:eastAsia="Times New Roman"/>
        </w:rPr>
        <w:t>S</w:t>
      </w:r>
      <w:r w:rsidR="00AB3066" w:rsidRPr="00B96294">
        <w:rPr>
          <w:rFonts w:eastAsia="Times New Roman"/>
        </w:rPr>
        <w:t>c</w:t>
      </w:r>
      <w:r w:rsidR="006B46FE" w:rsidRPr="00B96294">
        <w:rPr>
          <w:rFonts w:eastAsia="Times New Roman"/>
        </w:rPr>
        <w:t>hield</w:t>
      </w:r>
      <w:proofErr w:type="spellEnd"/>
      <w:r w:rsidR="006B46FE" w:rsidRPr="00B96294">
        <w:rPr>
          <w:rFonts w:eastAsia="Times New Roman"/>
        </w:rPr>
        <w:t xml:space="preserve"> to</w:t>
      </w:r>
      <w:r w:rsidR="00661880" w:rsidRPr="00B96294">
        <w:rPr>
          <w:rFonts w:eastAsia="Times New Roman"/>
        </w:rPr>
        <w:t xml:space="preserve"> be the DSI MSMESB SIG Web Analytics Associate Director.  </w:t>
      </w:r>
      <w:r w:rsidR="00551DC1" w:rsidRPr="00B96294">
        <w:rPr>
          <w:rFonts w:eastAsia="Times New Roman"/>
        </w:rPr>
        <w:t xml:space="preserve">Bob </w:t>
      </w:r>
      <w:r w:rsidR="00661880" w:rsidRPr="00B96294">
        <w:rPr>
          <w:rFonts w:eastAsia="Times New Roman"/>
        </w:rPr>
        <w:t xml:space="preserve">Andrews </w:t>
      </w:r>
      <w:r w:rsidR="00551DC1" w:rsidRPr="00B96294">
        <w:rPr>
          <w:rFonts w:eastAsia="Times New Roman"/>
        </w:rPr>
        <w:t xml:space="preserve">will </w:t>
      </w:r>
      <w:r w:rsidR="00661880" w:rsidRPr="00B96294">
        <w:rPr>
          <w:rFonts w:eastAsia="Times New Roman"/>
        </w:rPr>
        <w:t xml:space="preserve">post the PowerPoint slides from the 2014 sessions on the website he has created for MSMESB.  He will also enter e-mail addresses of those who signed in at this year’s meeting and send out an e-mail to let people know when everything gets posted to the website.  </w:t>
      </w:r>
    </w:p>
    <w:p w:rsidR="00661880" w:rsidRPr="00B96294" w:rsidRDefault="00661880" w:rsidP="00551DC1">
      <w:pPr>
        <w:shd w:val="clear" w:color="auto" w:fill="FFFFFF"/>
        <w:spacing w:line="210" w:lineRule="atLeast"/>
        <w:rPr>
          <w:rFonts w:eastAsia="Times New Roman"/>
          <w:sz w:val="16"/>
          <w:szCs w:val="16"/>
        </w:rPr>
      </w:pPr>
    </w:p>
    <w:p w:rsidR="00661880" w:rsidRPr="00B96294" w:rsidRDefault="00661880" w:rsidP="00551DC1">
      <w:pPr>
        <w:shd w:val="clear" w:color="auto" w:fill="FFFFFF"/>
        <w:spacing w:line="210" w:lineRule="atLeast"/>
        <w:rPr>
          <w:rFonts w:eastAsia="Times New Roman"/>
        </w:rPr>
      </w:pPr>
      <w:r w:rsidRPr="00B96294">
        <w:rPr>
          <w:rFonts w:eastAsia="Times New Roman"/>
        </w:rPr>
        <w:t xml:space="preserve">Everyone agreed that it was good to have this website but that it would </w:t>
      </w:r>
      <w:r w:rsidR="000424D6">
        <w:rPr>
          <w:rFonts w:eastAsia="Times New Roman"/>
        </w:rPr>
        <w:t xml:space="preserve">be </w:t>
      </w:r>
      <w:r w:rsidRPr="00B96294">
        <w:rPr>
          <w:rFonts w:eastAsia="Times New Roman"/>
        </w:rPr>
        <w:t>much better if this information is on the DSI website.  W</w:t>
      </w:r>
      <w:r w:rsidR="00D01642" w:rsidRPr="00B96294">
        <w:rPr>
          <w:rFonts w:eastAsia="Times New Roman"/>
        </w:rPr>
        <w:t>e</w:t>
      </w:r>
      <w:r w:rsidRPr="00B96294">
        <w:rPr>
          <w:rFonts w:eastAsia="Times New Roman"/>
        </w:rPr>
        <w:t xml:space="preserve"> also discussed what other things could be put on a website that would provide value to our group and to h</w:t>
      </w:r>
      <w:r w:rsidR="00D01642" w:rsidRPr="00B96294">
        <w:rPr>
          <w:rFonts w:eastAsia="Times New Roman"/>
        </w:rPr>
        <w:t>elp Make Statistics More Effective in Schools of Business.</w:t>
      </w:r>
    </w:p>
    <w:p w:rsidR="00551DC1" w:rsidRPr="00B96294" w:rsidRDefault="00551DC1" w:rsidP="00551DC1">
      <w:pPr>
        <w:shd w:val="clear" w:color="auto" w:fill="FFFFFF"/>
        <w:spacing w:line="210" w:lineRule="atLeast"/>
        <w:rPr>
          <w:rFonts w:eastAsia="Times New Roman"/>
        </w:rPr>
      </w:pPr>
      <w:r w:rsidRPr="00B96294">
        <w:rPr>
          <w:rFonts w:eastAsia="Times New Roman"/>
        </w:rPr>
        <w:t>Below is a summary of main points</w:t>
      </w:r>
      <w:r w:rsidR="001E0E75" w:rsidRPr="00B96294">
        <w:rPr>
          <w:rFonts w:eastAsia="Times New Roman"/>
        </w:rPr>
        <w:t xml:space="preserve"> about information that would be of value on a DSI website for the MSMESB SIG</w:t>
      </w:r>
      <w:r w:rsidRPr="00B96294">
        <w:rPr>
          <w:rFonts w:eastAsia="Times New Roman"/>
        </w:rPr>
        <w:t>:</w:t>
      </w:r>
    </w:p>
    <w:p w:rsidR="00551DC1" w:rsidRPr="007D0567" w:rsidRDefault="00D01642" w:rsidP="007D0567">
      <w:pPr>
        <w:pStyle w:val="ListParagraph"/>
        <w:numPr>
          <w:ilvl w:val="0"/>
          <w:numId w:val="1"/>
        </w:numPr>
        <w:shd w:val="clear" w:color="auto" w:fill="FFFFFF"/>
        <w:spacing w:line="210" w:lineRule="atLeast"/>
        <w:ind w:left="180" w:hanging="180"/>
        <w:rPr>
          <w:rFonts w:eastAsia="Times New Roman"/>
        </w:rPr>
      </w:pPr>
      <w:r w:rsidRPr="007D0567">
        <w:rPr>
          <w:rFonts w:eastAsia="Times New Roman"/>
        </w:rPr>
        <w:t>Have guidance/advice for teaching different topics that are in the typical introductory business statistics class.</w:t>
      </w:r>
    </w:p>
    <w:p w:rsidR="00551DC1" w:rsidRPr="007D0567" w:rsidRDefault="00D01642" w:rsidP="007D0567">
      <w:pPr>
        <w:pStyle w:val="ListParagraph"/>
        <w:numPr>
          <w:ilvl w:val="0"/>
          <w:numId w:val="1"/>
        </w:numPr>
        <w:shd w:val="clear" w:color="auto" w:fill="FFFFFF"/>
        <w:spacing w:line="210" w:lineRule="atLeast"/>
        <w:ind w:left="180" w:hanging="180"/>
        <w:rPr>
          <w:rFonts w:eastAsia="Times New Roman"/>
        </w:rPr>
      </w:pPr>
      <w:r w:rsidRPr="007D0567">
        <w:rPr>
          <w:rFonts w:eastAsia="Times New Roman"/>
        </w:rPr>
        <w:t>Have data sets and associated cases that can be used in the typical introductory business statistics class.</w:t>
      </w:r>
    </w:p>
    <w:p w:rsidR="00551DC1" w:rsidRPr="007D0567" w:rsidRDefault="00D01642" w:rsidP="007D0567">
      <w:pPr>
        <w:pStyle w:val="ListParagraph"/>
        <w:numPr>
          <w:ilvl w:val="0"/>
          <w:numId w:val="1"/>
        </w:numPr>
        <w:shd w:val="clear" w:color="auto" w:fill="FFFFFF"/>
        <w:spacing w:line="210" w:lineRule="atLeast"/>
        <w:ind w:left="180" w:hanging="180"/>
        <w:rPr>
          <w:rFonts w:eastAsia="Times New Roman"/>
        </w:rPr>
      </w:pPr>
      <w:r w:rsidRPr="007D0567">
        <w:rPr>
          <w:rFonts w:eastAsia="Times New Roman"/>
        </w:rPr>
        <w:t>Have a way for people to sign up to be on a MSMESB listserv</w:t>
      </w:r>
      <w:r w:rsidR="00551DC1" w:rsidRPr="007D0567">
        <w:rPr>
          <w:rFonts w:eastAsia="Times New Roman"/>
        </w:rPr>
        <w:t>.</w:t>
      </w:r>
    </w:p>
    <w:p w:rsidR="00551DC1" w:rsidRPr="007D0567" w:rsidRDefault="00D01642" w:rsidP="007D0567">
      <w:pPr>
        <w:pStyle w:val="ListParagraph"/>
        <w:numPr>
          <w:ilvl w:val="0"/>
          <w:numId w:val="1"/>
        </w:numPr>
        <w:shd w:val="clear" w:color="auto" w:fill="FFFFFF"/>
        <w:spacing w:line="210" w:lineRule="atLeast"/>
        <w:ind w:left="180" w:hanging="180"/>
        <w:rPr>
          <w:rFonts w:eastAsia="Times New Roman"/>
        </w:rPr>
      </w:pPr>
      <w:r w:rsidRPr="007D0567">
        <w:rPr>
          <w:rFonts w:eastAsia="Times New Roman"/>
        </w:rPr>
        <w:t xml:space="preserve">Provide links to other sources, such as the </w:t>
      </w:r>
      <w:r w:rsidR="00030E55" w:rsidRPr="007D0567">
        <w:rPr>
          <w:rFonts w:eastAsia="Times New Roman"/>
          <w:b/>
        </w:rPr>
        <w:t>C</w:t>
      </w:r>
      <w:r w:rsidR="00030E55" w:rsidRPr="007D0567">
        <w:rPr>
          <w:rFonts w:eastAsia="Times New Roman"/>
        </w:rPr>
        <w:t xml:space="preserve">onsortium for the </w:t>
      </w:r>
      <w:r w:rsidR="00030E55" w:rsidRPr="007D0567">
        <w:rPr>
          <w:rFonts w:eastAsia="Times New Roman"/>
          <w:b/>
        </w:rPr>
        <w:t>A</w:t>
      </w:r>
      <w:r w:rsidR="00030E55" w:rsidRPr="007D0567">
        <w:rPr>
          <w:rFonts w:eastAsia="Times New Roman"/>
        </w:rPr>
        <w:t xml:space="preserve">dvancement of </w:t>
      </w:r>
      <w:r w:rsidR="00030E55" w:rsidRPr="007D0567">
        <w:rPr>
          <w:rFonts w:eastAsia="Times New Roman"/>
          <w:b/>
        </w:rPr>
        <w:t>U</w:t>
      </w:r>
      <w:r w:rsidR="00030E55" w:rsidRPr="007D0567">
        <w:rPr>
          <w:rFonts w:eastAsia="Times New Roman"/>
        </w:rPr>
        <w:t xml:space="preserve">ndergraduate </w:t>
      </w:r>
      <w:r w:rsidR="00030E55" w:rsidRPr="007D0567">
        <w:rPr>
          <w:rFonts w:eastAsia="Times New Roman"/>
          <w:b/>
        </w:rPr>
        <w:t>S</w:t>
      </w:r>
      <w:r w:rsidR="00030E55" w:rsidRPr="007D0567">
        <w:rPr>
          <w:rFonts w:eastAsia="Times New Roman"/>
        </w:rPr>
        <w:t xml:space="preserve">tatistics </w:t>
      </w:r>
      <w:r w:rsidR="00030E55" w:rsidRPr="007D0567">
        <w:rPr>
          <w:rFonts w:eastAsia="Times New Roman"/>
          <w:b/>
        </w:rPr>
        <w:t>E</w:t>
      </w:r>
      <w:r w:rsidR="00030E55" w:rsidRPr="007D0567">
        <w:rPr>
          <w:rFonts w:eastAsia="Times New Roman"/>
        </w:rPr>
        <w:t>ducation website</w:t>
      </w:r>
      <w:r w:rsidR="000424D6">
        <w:rPr>
          <w:rFonts w:eastAsia="Times New Roman"/>
        </w:rPr>
        <w:t xml:space="preserve">, </w:t>
      </w:r>
      <w:r w:rsidR="00E57430" w:rsidRPr="00E57430">
        <w:t>https://www.causeweb.org/</w:t>
      </w:r>
      <w:r w:rsidR="00030E55" w:rsidRPr="007D0567">
        <w:rPr>
          <w:rFonts w:eastAsia="Times New Roman"/>
        </w:rPr>
        <w:t>.</w:t>
      </w:r>
    </w:p>
    <w:p w:rsidR="00551DC1" w:rsidRPr="00B96294" w:rsidRDefault="00551DC1" w:rsidP="00551DC1">
      <w:pPr>
        <w:shd w:val="clear" w:color="auto" w:fill="FFFFFF"/>
        <w:spacing w:line="210" w:lineRule="atLeast"/>
        <w:rPr>
          <w:rFonts w:eastAsia="Times New Roman"/>
          <w:sz w:val="16"/>
          <w:szCs w:val="16"/>
        </w:rPr>
      </w:pPr>
    </w:p>
    <w:p w:rsidR="002D5F14" w:rsidRPr="00B96294" w:rsidRDefault="00551DC1" w:rsidP="00B96294">
      <w:pPr>
        <w:shd w:val="clear" w:color="auto" w:fill="FFFFFF"/>
        <w:spacing w:line="210" w:lineRule="atLeast"/>
        <w:rPr>
          <w:rFonts w:eastAsia="Times New Roman"/>
        </w:rPr>
      </w:pPr>
      <w:r w:rsidRPr="00B96294">
        <w:rPr>
          <w:rFonts w:eastAsia="Times New Roman"/>
        </w:rPr>
        <w:t xml:space="preserve">Bob Andrews </w:t>
      </w:r>
      <w:r w:rsidR="00030E55" w:rsidRPr="00B96294">
        <w:rPr>
          <w:rFonts w:eastAsia="Times New Roman"/>
        </w:rPr>
        <w:t>&amp; Kellie</w:t>
      </w:r>
      <w:r w:rsidR="001E0E75" w:rsidRPr="00B96294">
        <w:rPr>
          <w:rFonts w:eastAsia="Times New Roman"/>
        </w:rPr>
        <w:t xml:space="preserve"> Keeling </w:t>
      </w:r>
      <w:r w:rsidRPr="00B96294">
        <w:rPr>
          <w:rFonts w:eastAsia="Times New Roman"/>
        </w:rPr>
        <w:t xml:space="preserve">will organize a series of </w:t>
      </w:r>
      <w:r w:rsidR="001E0E75" w:rsidRPr="00B96294">
        <w:rPr>
          <w:rFonts w:eastAsia="Times New Roman"/>
        </w:rPr>
        <w:t>MSMESB sessions for February 26 &amp; 27, 2015</w:t>
      </w:r>
      <w:r w:rsidRPr="00B96294">
        <w:rPr>
          <w:rFonts w:eastAsia="Times New Roman"/>
        </w:rPr>
        <w:t xml:space="preserve"> to be held in conjunction </w:t>
      </w:r>
      <w:r w:rsidR="00E57430">
        <w:rPr>
          <w:rFonts w:eastAsia="Times New Roman"/>
        </w:rPr>
        <w:t xml:space="preserve">with </w:t>
      </w:r>
      <w:r w:rsidRPr="00B96294">
        <w:rPr>
          <w:rFonts w:eastAsia="Times New Roman"/>
        </w:rPr>
        <w:t xml:space="preserve">the meeting of the Southeast Region of DSI in </w:t>
      </w:r>
      <w:r w:rsidR="001E0E75" w:rsidRPr="00B96294">
        <w:rPr>
          <w:rFonts w:eastAsia="Times New Roman"/>
        </w:rPr>
        <w:t>Savannah, GA</w:t>
      </w:r>
      <w:r w:rsidRPr="00B96294">
        <w:rPr>
          <w:rFonts w:eastAsia="Times New Roman"/>
        </w:rPr>
        <w:t>.</w:t>
      </w:r>
    </w:p>
    <w:sectPr w:rsidR="002D5F14" w:rsidRPr="00B96294" w:rsidSect="00AB3066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0526"/>
    <w:multiLevelType w:val="hybridMultilevel"/>
    <w:tmpl w:val="5F84D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1"/>
    <w:rsid w:val="00020048"/>
    <w:rsid w:val="00030E55"/>
    <w:rsid w:val="000424D6"/>
    <w:rsid w:val="000B3C78"/>
    <w:rsid w:val="000C1456"/>
    <w:rsid w:val="000E51AE"/>
    <w:rsid w:val="001E0E75"/>
    <w:rsid w:val="002651F2"/>
    <w:rsid w:val="002D5F14"/>
    <w:rsid w:val="00383BCE"/>
    <w:rsid w:val="00461BDD"/>
    <w:rsid w:val="00551DC1"/>
    <w:rsid w:val="00621E3C"/>
    <w:rsid w:val="00661880"/>
    <w:rsid w:val="006667C7"/>
    <w:rsid w:val="006B46FE"/>
    <w:rsid w:val="00706E1D"/>
    <w:rsid w:val="007B73A7"/>
    <w:rsid w:val="007D0567"/>
    <w:rsid w:val="008D71EB"/>
    <w:rsid w:val="008E4EA1"/>
    <w:rsid w:val="009F14F3"/>
    <w:rsid w:val="00AB3066"/>
    <w:rsid w:val="00B96294"/>
    <w:rsid w:val="00C81E91"/>
    <w:rsid w:val="00CC08A9"/>
    <w:rsid w:val="00D01642"/>
    <w:rsid w:val="00D031D7"/>
    <w:rsid w:val="00D30ABF"/>
    <w:rsid w:val="00D93499"/>
    <w:rsid w:val="00DA70D9"/>
    <w:rsid w:val="00E57430"/>
    <w:rsid w:val="00EA0E4C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96F4F-8F18-46DD-813D-D59F90E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DC1"/>
  </w:style>
  <w:style w:type="character" w:customStyle="1" w:styleId="aqj">
    <w:name w:val="aqj"/>
    <w:basedOn w:val="DefaultParagraphFont"/>
    <w:rsid w:val="00551DC1"/>
  </w:style>
  <w:style w:type="paragraph" w:styleId="ListParagraph">
    <w:name w:val="List Paragraph"/>
    <w:basedOn w:val="Normal"/>
    <w:uiPriority w:val="34"/>
    <w:qFormat/>
    <w:rsid w:val="007D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Andrews</dc:creator>
  <cp:lastModifiedBy>RAndrews</cp:lastModifiedBy>
  <cp:revision>2</cp:revision>
  <dcterms:created xsi:type="dcterms:W3CDTF">2018-04-07T20:03:00Z</dcterms:created>
  <dcterms:modified xsi:type="dcterms:W3CDTF">2018-04-07T20:03:00Z</dcterms:modified>
</cp:coreProperties>
</file>