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FA" w:rsidRDefault="00243044" w:rsidP="00243044">
      <w:pPr>
        <w:tabs>
          <w:tab w:val="left" w:pos="1110"/>
          <w:tab w:val="center" w:pos="4680"/>
        </w:tabs>
        <w:rPr>
          <w:sz w:val="24"/>
        </w:rPr>
      </w:pPr>
      <w:r>
        <w:rPr>
          <w:sz w:val="24"/>
        </w:rPr>
        <w:tab/>
      </w:r>
      <w:r>
        <w:rPr>
          <w:sz w:val="24"/>
        </w:rPr>
        <w:tab/>
      </w:r>
      <w:r w:rsidR="00C2093C">
        <w:rPr>
          <w:sz w:val="24"/>
        </w:rPr>
        <w:t xml:space="preserve">Analysis </w:t>
      </w:r>
      <w:r w:rsidR="000C7817">
        <w:rPr>
          <w:sz w:val="24"/>
        </w:rPr>
        <w:t>DNA uptake sequences</w:t>
      </w:r>
      <w:r w:rsidR="0081730E">
        <w:rPr>
          <w:sz w:val="24"/>
        </w:rPr>
        <w:t xml:space="preserve"> </w:t>
      </w:r>
      <w:r w:rsidR="00C2093C">
        <w:rPr>
          <w:sz w:val="24"/>
        </w:rPr>
        <w:t>in pathogenic</w:t>
      </w:r>
      <w:r w:rsidR="0081730E">
        <w:rPr>
          <w:sz w:val="24"/>
        </w:rPr>
        <w:t xml:space="preserve"> species of the </w:t>
      </w:r>
      <w:r w:rsidR="0081730E" w:rsidRPr="0081730E">
        <w:rPr>
          <w:i/>
          <w:sz w:val="24"/>
        </w:rPr>
        <w:t>Haemophilus</w:t>
      </w:r>
      <w:r w:rsidR="00582C64">
        <w:rPr>
          <w:i/>
          <w:sz w:val="24"/>
        </w:rPr>
        <w:t xml:space="preserve"> </w:t>
      </w:r>
      <w:r w:rsidR="0081730E">
        <w:rPr>
          <w:sz w:val="24"/>
        </w:rPr>
        <w:t>genus</w:t>
      </w:r>
    </w:p>
    <w:p w:rsidR="007767F2" w:rsidRDefault="007767F2" w:rsidP="00C2093C">
      <w:pPr>
        <w:rPr>
          <w:sz w:val="24"/>
        </w:rPr>
      </w:pPr>
      <w:r>
        <w:rPr>
          <w:b/>
          <w:sz w:val="24"/>
        </w:rPr>
        <w:t>Introduction</w:t>
      </w:r>
    </w:p>
    <w:p w:rsidR="002F24D8" w:rsidRPr="001B4012" w:rsidRDefault="00C2093C" w:rsidP="00C2093C">
      <w:pPr>
        <w:rPr>
          <w:sz w:val="24"/>
          <w:szCs w:val="24"/>
        </w:rPr>
      </w:pPr>
      <w:r>
        <w:rPr>
          <w:sz w:val="24"/>
        </w:rPr>
        <w:tab/>
        <w:t>A large portion of eukaryotic genomes are non-coding, meaning that they do not encode protein sequences. Indeed, more than 98% of the human genome does not encode protein sequences</w:t>
      </w:r>
      <w:r w:rsidR="001E025C">
        <w:rPr>
          <w:sz w:val="24"/>
        </w:rPr>
        <w:t xml:space="preserve"> (Elgar, Vavouri 2008). Bacterial genomes, on the other hand, do not possess nearly as many noncoding regions, and the fraction of non-coding DNA tends to account for almost 6%-24% of their genomes (Elhai et al. 2008). While these non-coding segments were previously discounted as “junk” DNA, their functions and roles in genome regulation and evolution are becoming increasingly recognized. Much of the non-coding DNA comes in the form of repeated sequences, which are classified based on the structure and content of the repeated sequence, as well as the frequency of repeats, their lengths, and characteristics. Some important classes of repeats are tandem repeats, dispersed repeats, and CRISPRs (Avershina, Knut 2015). Dispersed repeats are highly variable in length, so this serves as a useful property to allow for classification of the sequences</w:t>
      </w:r>
      <w:r w:rsidR="002F24D8">
        <w:rPr>
          <w:sz w:val="24"/>
        </w:rPr>
        <w:t xml:space="preserve">; generally, four different kinds of repeats have been identified based on length; long sequences repeats, short sequence repeats, very short sequence repeats, and </w:t>
      </w:r>
      <w:r w:rsidR="002F24D8" w:rsidRPr="001B4012">
        <w:rPr>
          <w:sz w:val="24"/>
          <w:szCs w:val="24"/>
        </w:rPr>
        <w:t>short clustered repeats (Buijn et al, 38-43)</w:t>
      </w:r>
      <w:r w:rsidR="001E025C" w:rsidRPr="001B4012">
        <w:rPr>
          <w:sz w:val="24"/>
          <w:szCs w:val="24"/>
        </w:rPr>
        <w:t xml:space="preserve">. </w:t>
      </w:r>
      <w:r w:rsidR="002F24D8" w:rsidRPr="001B4012">
        <w:rPr>
          <w:sz w:val="24"/>
          <w:szCs w:val="24"/>
        </w:rPr>
        <w:t xml:space="preserve">All dispersed repeats </w:t>
      </w:r>
      <w:r w:rsidR="001E025C" w:rsidRPr="001B4012">
        <w:rPr>
          <w:sz w:val="24"/>
          <w:szCs w:val="24"/>
        </w:rPr>
        <w:t xml:space="preserve">share the property of being transposable elements that are interspersed throughout the </w:t>
      </w:r>
      <w:r w:rsidR="00696377" w:rsidRPr="001B4012">
        <w:rPr>
          <w:sz w:val="24"/>
          <w:szCs w:val="24"/>
        </w:rPr>
        <w:t>genome (</w:t>
      </w:r>
      <w:r w:rsidR="00143CC9" w:rsidRPr="001B4012">
        <w:rPr>
          <w:sz w:val="24"/>
          <w:szCs w:val="24"/>
        </w:rPr>
        <w:t>Buijn et al, 38-43).</w:t>
      </w:r>
    </w:p>
    <w:p w:rsidR="00335A32" w:rsidRDefault="002F24D8" w:rsidP="002F24D8">
      <w:pPr>
        <w:rPr>
          <w:sz w:val="24"/>
          <w:szCs w:val="24"/>
        </w:rPr>
      </w:pPr>
      <w:r w:rsidRPr="001B4012">
        <w:rPr>
          <w:sz w:val="24"/>
          <w:szCs w:val="24"/>
        </w:rPr>
        <w:tab/>
        <w:t>Very short tandem repeats includes a number of categories of repeated sequences, including Chi sites, Highly Iterated Palindromes, and DNA uptake signals. DNA uptake signals are 9-12 nt long sequences that occur over 100 times its expected value (or constitute approximately 1% of the genome)</w:t>
      </w:r>
      <w:r w:rsidR="00E02AB2" w:rsidRPr="001B4012">
        <w:rPr>
          <w:sz w:val="24"/>
          <w:szCs w:val="24"/>
        </w:rPr>
        <w:t xml:space="preserve"> (Smith et al. 1999). DNA uptake sequences (DUS) regulate DNA uptake and mediate a process known as transformation, a form of communication between bacterial species (Frye et al, 2013). DNA uptake sequences have primary been characterized in members of the </w:t>
      </w:r>
      <w:r w:rsidR="00E02AB2" w:rsidRPr="001B4012">
        <w:rPr>
          <w:i/>
          <w:sz w:val="24"/>
          <w:szCs w:val="24"/>
        </w:rPr>
        <w:t xml:space="preserve">Neisseriaceae </w:t>
      </w:r>
      <w:r w:rsidR="00E02AB2" w:rsidRPr="001B4012">
        <w:rPr>
          <w:sz w:val="24"/>
          <w:szCs w:val="24"/>
        </w:rPr>
        <w:t xml:space="preserve">and </w:t>
      </w:r>
      <w:r w:rsidR="00E02AB2" w:rsidRPr="001B4012">
        <w:rPr>
          <w:i/>
          <w:sz w:val="24"/>
          <w:szCs w:val="24"/>
        </w:rPr>
        <w:t xml:space="preserve">Pasteurellaceae </w:t>
      </w:r>
      <w:r w:rsidR="00E02AB2" w:rsidRPr="001B4012">
        <w:rPr>
          <w:sz w:val="24"/>
          <w:szCs w:val="24"/>
        </w:rPr>
        <w:t xml:space="preserve">families (the </w:t>
      </w:r>
      <w:r w:rsidR="00E02AB2" w:rsidRPr="001B4012">
        <w:rPr>
          <w:i/>
          <w:sz w:val="24"/>
          <w:szCs w:val="24"/>
        </w:rPr>
        <w:t>Neisseria</w:t>
      </w:r>
      <w:r w:rsidR="00E02AB2" w:rsidRPr="001B4012">
        <w:rPr>
          <w:sz w:val="24"/>
          <w:szCs w:val="24"/>
        </w:rPr>
        <w:t xml:space="preserve"> and </w:t>
      </w:r>
      <w:r w:rsidR="00E02AB2" w:rsidRPr="001B4012">
        <w:rPr>
          <w:i/>
          <w:sz w:val="24"/>
          <w:szCs w:val="24"/>
        </w:rPr>
        <w:t>Haemophilus</w:t>
      </w:r>
      <w:r w:rsidR="001B4012" w:rsidRPr="001B4012">
        <w:rPr>
          <w:sz w:val="24"/>
          <w:szCs w:val="24"/>
        </w:rPr>
        <w:t xml:space="preserve"> genera)</w:t>
      </w:r>
      <w:r w:rsidR="00E02AB2" w:rsidRPr="001B4012">
        <w:rPr>
          <w:sz w:val="24"/>
          <w:szCs w:val="24"/>
        </w:rPr>
        <w:t>, and specific patterns for DNA uptake have been characterized in these bacteria (Maughan et al, 2010).</w:t>
      </w:r>
      <w:r w:rsidR="001B4012">
        <w:rPr>
          <w:sz w:val="24"/>
          <w:szCs w:val="24"/>
        </w:rPr>
        <w:t xml:space="preserve"> Gram-negative bacteria (such as </w:t>
      </w:r>
      <w:r w:rsidR="001B4012" w:rsidRPr="001B4012">
        <w:rPr>
          <w:i/>
          <w:sz w:val="24"/>
          <w:szCs w:val="24"/>
        </w:rPr>
        <w:t>Haemophilus influenzae</w:t>
      </w:r>
      <w:r w:rsidR="001B4012" w:rsidRPr="001B4012">
        <w:rPr>
          <w:sz w:val="24"/>
          <w:szCs w:val="24"/>
        </w:rPr>
        <w:t xml:space="preserve"> Rd and </w:t>
      </w:r>
      <w:r w:rsidR="001B4012" w:rsidRPr="001B4012">
        <w:rPr>
          <w:i/>
          <w:sz w:val="24"/>
          <w:szCs w:val="24"/>
        </w:rPr>
        <w:t>Neisseria gonorrhoeae</w:t>
      </w:r>
      <w:r w:rsidR="001B4012">
        <w:rPr>
          <w:sz w:val="24"/>
          <w:szCs w:val="24"/>
        </w:rPr>
        <w:t>) tend to uptake only homologous DNA from related species, while Gram-positive bacteria appear to efficiently uptake DNA from any source (Smith et al, 1999).</w:t>
      </w:r>
    </w:p>
    <w:p w:rsidR="001B4012" w:rsidRPr="00AA601F" w:rsidRDefault="001B4012" w:rsidP="00AA601F">
      <w:pPr>
        <w:spacing w:before="240"/>
      </w:pPr>
      <w:r>
        <w:rPr>
          <w:sz w:val="24"/>
          <w:szCs w:val="24"/>
        </w:rPr>
        <w:tab/>
        <w:t xml:space="preserve">Frequency and distribution of DUS have been characterized in the </w:t>
      </w:r>
      <w:r>
        <w:rPr>
          <w:i/>
          <w:sz w:val="24"/>
          <w:szCs w:val="24"/>
        </w:rPr>
        <w:t xml:space="preserve">Haemophilus Influenzae </w:t>
      </w:r>
      <w:r>
        <w:rPr>
          <w:sz w:val="24"/>
          <w:szCs w:val="24"/>
        </w:rPr>
        <w:t>Rd genome. (Smith et al, 1995). They specify DNA uptake by recognizing the 9-base pair sequence 5’-AAGTGCGGT. 1465 copies of the uptake site have been identified in the genome. An alignment of these sites reveals an extended consensus region of 29 base pairs containing the 9-base pair region and two A/T rich regions (Smith et al, 1995). The DUS are typically located in the base paired stem of the transcription terminators</w:t>
      </w:r>
      <w:r w:rsidR="005777C2">
        <w:rPr>
          <w:sz w:val="24"/>
          <w:szCs w:val="24"/>
        </w:rPr>
        <w:t xml:space="preserve"> (downstream to ends of genes)</w:t>
      </w:r>
      <w:r>
        <w:rPr>
          <w:sz w:val="24"/>
          <w:szCs w:val="24"/>
        </w:rPr>
        <w:t xml:space="preserve"> (Smith et al, 1999). </w:t>
      </w:r>
      <w:r w:rsidR="00202BA2">
        <w:rPr>
          <w:sz w:val="24"/>
          <w:szCs w:val="24"/>
        </w:rPr>
        <w:t xml:space="preserve">While the uptake signal sequences have been extensively studied in </w:t>
      </w:r>
      <w:r w:rsidR="00202BA2">
        <w:rPr>
          <w:i/>
          <w:sz w:val="24"/>
          <w:szCs w:val="24"/>
        </w:rPr>
        <w:t>H. Influenzae</w:t>
      </w:r>
      <w:r w:rsidR="00202BA2">
        <w:rPr>
          <w:sz w:val="24"/>
          <w:szCs w:val="24"/>
        </w:rPr>
        <w:t xml:space="preserve">, their presence, location, frequency have not been investigated in other </w:t>
      </w:r>
      <w:r w:rsidR="00202BA2">
        <w:rPr>
          <w:sz w:val="24"/>
          <w:szCs w:val="24"/>
        </w:rPr>
        <w:lastRenderedPageBreak/>
        <w:t xml:space="preserve">members of the </w:t>
      </w:r>
      <w:r w:rsidR="00202BA2">
        <w:rPr>
          <w:i/>
          <w:sz w:val="24"/>
          <w:szCs w:val="24"/>
        </w:rPr>
        <w:t>Haemophilus</w:t>
      </w:r>
      <w:r w:rsidR="00202BA2">
        <w:rPr>
          <w:sz w:val="24"/>
          <w:szCs w:val="24"/>
        </w:rPr>
        <w:t xml:space="preserve"> genus. Here, five pathogenic species of </w:t>
      </w:r>
      <w:r w:rsidR="00202BA2">
        <w:rPr>
          <w:i/>
          <w:sz w:val="24"/>
          <w:szCs w:val="24"/>
        </w:rPr>
        <w:t xml:space="preserve">Haemophilus </w:t>
      </w:r>
      <w:r w:rsidR="00202BA2">
        <w:rPr>
          <w:sz w:val="24"/>
          <w:szCs w:val="24"/>
        </w:rPr>
        <w:t>were chosen to observe for the presence of DNA uptake sequences and to characterize their frequency and sequence.</w:t>
      </w:r>
      <w:r w:rsidR="001101AE">
        <w:rPr>
          <w:sz w:val="24"/>
          <w:szCs w:val="24"/>
        </w:rPr>
        <w:t xml:space="preserve"> </w:t>
      </w:r>
      <w:r w:rsidR="00AA601F">
        <w:rPr>
          <w:sz w:val="24"/>
          <w:szCs w:val="24"/>
        </w:rPr>
        <w:t>These species are associated with a number of diseases in humans, including meningitis, epiglottitis, bacteremia, and cellulitis (</w:t>
      </w:r>
      <w:r w:rsidR="00AA601F">
        <w:rPr>
          <w:i/>
          <w:sz w:val="24"/>
          <w:szCs w:val="24"/>
        </w:rPr>
        <w:t>H. influenzae)</w:t>
      </w:r>
      <w:r w:rsidR="00AA601F">
        <w:rPr>
          <w:sz w:val="24"/>
          <w:szCs w:val="24"/>
        </w:rPr>
        <w:t>, pneumonia (</w:t>
      </w:r>
      <w:r w:rsidR="00AA601F">
        <w:rPr>
          <w:i/>
          <w:sz w:val="24"/>
          <w:szCs w:val="24"/>
        </w:rPr>
        <w:t>H. parainfluenzae)</w:t>
      </w:r>
      <w:r w:rsidR="00AA601F">
        <w:rPr>
          <w:sz w:val="24"/>
          <w:szCs w:val="24"/>
        </w:rPr>
        <w:t>, genital chancre (</w:t>
      </w:r>
      <w:r w:rsidR="00AA601F">
        <w:rPr>
          <w:i/>
          <w:sz w:val="24"/>
          <w:szCs w:val="24"/>
        </w:rPr>
        <w:t>H. ducreyi)</w:t>
      </w:r>
      <w:r w:rsidR="00AA601F">
        <w:rPr>
          <w:sz w:val="24"/>
          <w:szCs w:val="24"/>
        </w:rPr>
        <w:t>, conjunctivitis (</w:t>
      </w:r>
      <w:r w:rsidR="00AA601F">
        <w:rPr>
          <w:i/>
          <w:sz w:val="24"/>
          <w:szCs w:val="24"/>
        </w:rPr>
        <w:t>H. aegyptius</w:t>
      </w:r>
      <w:r w:rsidR="00AA601F">
        <w:rPr>
          <w:sz w:val="24"/>
          <w:szCs w:val="24"/>
        </w:rPr>
        <w:t>), and endocarditis (</w:t>
      </w:r>
      <w:r w:rsidR="00AA601F">
        <w:rPr>
          <w:i/>
          <w:sz w:val="24"/>
          <w:szCs w:val="24"/>
        </w:rPr>
        <w:t>Haemophilus aphrophilus</w:t>
      </w:r>
      <w:r w:rsidR="00AA601F">
        <w:rPr>
          <w:sz w:val="24"/>
          <w:szCs w:val="24"/>
        </w:rPr>
        <w:t xml:space="preserve">, now named </w:t>
      </w:r>
      <w:r w:rsidR="00AA601F">
        <w:rPr>
          <w:i/>
          <w:sz w:val="24"/>
          <w:szCs w:val="24"/>
        </w:rPr>
        <w:t>Aggregatibacter aphrophilus</w:t>
      </w:r>
      <w:r w:rsidR="00666BC1">
        <w:rPr>
          <w:sz w:val="24"/>
          <w:szCs w:val="24"/>
        </w:rPr>
        <w:t xml:space="preserve">) (Musher, </w:t>
      </w:r>
      <w:r w:rsidR="00E8560B">
        <w:rPr>
          <w:sz w:val="24"/>
          <w:szCs w:val="24"/>
        </w:rPr>
        <w:t xml:space="preserve">Chapter 30). </w:t>
      </w:r>
    </w:p>
    <w:p w:rsidR="000637D0" w:rsidRDefault="007767F2" w:rsidP="00F72823">
      <w:pPr>
        <w:rPr>
          <w:b/>
          <w:sz w:val="24"/>
        </w:rPr>
      </w:pPr>
      <w:r>
        <w:rPr>
          <w:b/>
          <w:sz w:val="24"/>
        </w:rPr>
        <w:t>Methods</w:t>
      </w:r>
    </w:p>
    <w:p w:rsidR="00F45078" w:rsidRDefault="00F72823" w:rsidP="0081730E">
      <w:pPr>
        <w:rPr>
          <w:sz w:val="24"/>
        </w:rPr>
      </w:pPr>
      <w:r>
        <w:rPr>
          <w:b/>
          <w:sz w:val="24"/>
        </w:rPr>
        <w:tab/>
      </w:r>
      <w:r>
        <w:rPr>
          <w:sz w:val="24"/>
        </w:rPr>
        <w:t xml:space="preserve">Bacterial strains were selected based on their ability to cause disease in humans. This was determined by examining a Medical Microbiology text by Daniel Musher, but it is important to note that the remainder of the methodology works (potentially with slight modification) on any bacterial genome. However, the </w:t>
      </w:r>
      <w:r>
        <w:rPr>
          <w:i/>
          <w:sz w:val="24"/>
        </w:rPr>
        <w:t xml:space="preserve">Haemophilus Influenzae </w:t>
      </w:r>
      <w:r>
        <w:rPr>
          <w:sz w:val="24"/>
        </w:rPr>
        <w:t>genome was include due to being highly characterized and serving as a useful validation for the methods being used.</w:t>
      </w:r>
      <w:r w:rsidR="00F45078">
        <w:rPr>
          <w:sz w:val="24"/>
        </w:rPr>
        <w:t xml:space="preserve"> </w:t>
      </w:r>
      <w:r>
        <w:rPr>
          <w:sz w:val="24"/>
        </w:rPr>
        <w:t xml:space="preserve">The primary tool used to carry out the </w:t>
      </w:r>
      <w:r w:rsidR="00F45078">
        <w:rPr>
          <w:sz w:val="24"/>
        </w:rPr>
        <w:t xml:space="preserve">methods was the BioBIKE application (specifically the </w:t>
      </w:r>
      <w:r w:rsidR="00F45078" w:rsidRPr="00F45078">
        <w:rPr>
          <w:sz w:val="24"/>
        </w:rPr>
        <w:t>PhAnToMe/BioBIKE</w:t>
      </w:r>
      <w:r w:rsidR="00F45078">
        <w:rPr>
          <w:sz w:val="24"/>
        </w:rPr>
        <w:t xml:space="preserve"> server), a cloud based bioinformatics program that facilitates computational biology. Code for the commands described will be included as well as an image for the implementation of each command. Additionally, the methodology performed will be described for the </w:t>
      </w:r>
      <w:r w:rsidR="00F45078">
        <w:rPr>
          <w:i/>
          <w:sz w:val="24"/>
        </w:rPr>
        <w:t>H. Influenzae</w:t>
      </w:r>
      <w:r w:rsidR="00F45078">
        <w:rPr>
          <w:sz w:val="24"/>
        </w:rPr>
        <w:t xml:space="preserve"> genome, but the same functions were used to analyze the genomes of the remaining bacteria for DNA uptake sequences.</w:t>
      </w:r>
    </w:p>
    <w:p w:rsidR="00126817" w:rsidRDefault="00F45078" w:rsidP="0081730E">
      <w:pPr>
        <w:rPr>
          <w:sz w:val="24"/>
        </w:rPr>
      </w:pPr>
      <w:r>
        <w:rPr>
          <w:sz w:val="24"/>
        </w:rPr>
        <w:tab/>
        <w:t xml:space="preserve">Identification of the DNA uptake sequences was done via the COUNTS-OF-K-MERS </w:t>
      </w:r>
      <w:r w:rsidR="002315C3">
        <w:rPr>
          <w:sz w:val="24"/>
        </w:rPr>
        <w:t>function. Because the length of the length of the DUS is 9, a window-siz</w:t>
      </w:r>
      <w:r w:rsidR="005777C2">
        <w:rPr>
          <w:sz w:val="24"/>
        </w:rPr>
        <w:t xml:space="preserve">e of 9 is chosen, and the </w:t>
      </w:r>
      <w:r w:rsidR="002315C3">
        <w:rPr>
          <w:sz w:val="24"/>
        </w:rPr>
        <w:t xml:space="preserve">THRESHOLD (5) </w:t>
      </w:r>
      <w:r w:rsidR="005777C2">
        <w:rPr>
          <w:sz w:val="24"/>
        </w:rPr>
        <w:t>option</w:t>
      </w:r>
      <w:r w:rsidR="002315C3">
        <w:rPr>
          <w:sz w:val="24"/>
        </w:rPr>
        <w:t xml:space="preserve"> w</w:t>
      </w:r>
      <w:r w:rsidR="00126817">
        <w:rPr>
          <w:sz w:val="24"/>
        </w:rPr>
        <w:t>as selected as well</w:t>
      </w:r>
      <w:r w:rsidR="00830FCD">
        <w:rPr>
          <w:sz w:val="24"/>
        </w:rPr>
        <w:t xml:space="preserve"> (Figure 1)</w:t>
      </w:r>
      <w:r w:rsidR="002315C3">
        <w:rPr>
          <w:sz w:val="24"/>
        </w:rPr>
        <w:t xml:space="preserve">. </w:t>
      </w:r>
      <w:r w:rsidR="005777C2">
        <w:rPr>
          <w:sz w:val="24"/>
        </w:rPr>
        <w:t xml:space="preserve">To count the number of times this DUS occurred in </w:t>
      </w:r>
      <w:r w:rsidR="00A56F66">
        <w:rPr>
          <w:sz w:val="24"/>
        </w:rPr>
        <w:t>the sequence</w:t>
      </w:r>
      <w:r w:rsidR="000413B6">
        <w:rPr>
          <w:sz w:val="24"/>
        </w:rPr>
        <w:t xml:space="preserve">, the COUNT-OF and MATCHES-OF-PATTERN (“AAGTGCGGT”) functions were used in the genome of </w:t>
      </w:r>
      <w:r w:rsidR="000413B6">
        <w:rPr>
          <w:i/>
          <w:sz w:val="24"/>
        </w:rPr>
        <w:t>H.</w:t>
      </w:r>
      <w:r w:rsidR="000413B6">
        <w:rPr>
          <w:sz w:val="24"/>
        </w:rPr>
        <w:t xml:space="preserve"> </w:t>
      </w:r>
      <w:r w:rsidR="000413B6">
        <w:rPr>
          <w:i/>
          <w:sz w:val="24"/>
        </w:rPr>
        <w:t>Influenzae</w:t>
      </w:r>
      <w:r w:rsidR="000413B6">
        <w:rPr>
          <w:sz w:val="24"/>
        </w:rPr>
        <w:t>. The MATCHES-OF-PATTERN option was selected in order to detect similar (but not necessarily exact) copies of the target sequence</w:t>
      </w:r>
      <w:r w:rsidR="006E2664">
        <w:rPr>
          <w:sz w:val="24"/>
        </w:rPr>
        <w:t xml:space="preserve"> (and the ONE-STRAND option was also selected)</w:t>
      </w:r>
      <w:r w:rsidR="000413B6">
        <w:rPr>
          <w:sz w:val="24"/>
        </w:rPr>
        <w:t>.</w:t>
      </w:r>
    </w:p>
    <w:p w:rsidR="00830FCD" w:rsidRDefault="00830FCD" w:rsidP="00830FCD">
      <w:pPr>
        <w:keepNext/>
      </w:pPr>
      <w:r>
        <w:rPr>
          <w:noProof/>
          <w:sz w:val="24"/>
        </w:rPr>
        <w:drawing>
          <wp:inline distT="0" distB="0" distL="0" distR="0" wp14:anchorId="20676351" wp14:editId="3959E667">
            <wp:extent cx="57531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p w:rsidR="00830FCD" w:rsidRDefault="00830FCD" w:rsidP="00830FCD">
      <w:pPr>
        <w:pStyle w:val="Caption"/>
      </w:pPr>
      <w:r>
        <w:t xml:space="preserve">Figure </w:t>
      </w:r>
      <w:r w:rsidR="00861B58">
        <w:fldChar w:fldCharType="begin"/>
      </w:r>
      <w:r w:rsidR="00861B58">
        <w:instrText xml:space="preserve"> SEQ Figure \* ARABIC </w:instrText>
      </w:r>
      <w:r w:rsidR="00861B58">
        <w:fldChar w:fldCharType="separate"/>
      </w:r>
      <w:r w:rsidR="00F001C7">
        <w:rPr>
          <w:noProof/>
        </w:rPr>
        <w:t>1</w:t>
      </w:r>
      <w:r w:rsidR="00861B58">
        <w:rPr>
          <w:noProof/>
        </w:rPr>
        <w:fldChar w:fldCharType="end"/>
      </w:r>
      <w:r>
        <w:t>: Quantifying the number K-mers (and hence the most overrepresented sequences and the DUS)</w:t>
      </w:r>
    </w:p>
    <w:p w:rsidR="00830FCD" w:rsidRDefault="008661D3" w:rsidP="00830FCD">
      <w:pPr>
        <w:keepNext/>
      </w:pPr>
      <w:r>
        <w:rPr>
          <w:noProof/>
        </w:rPr>
        <w:drawing>
          <wp:inline distT="0" distB="0" distL="0" distR="0">
            <wp:extent cx="59436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p>
    <w:p w:rsidR="00830FCD" w:rsidRPr="00830FCD" w:rsidRDefault="00830FCD" w:rsidP="00830FCD">
      <w:pPr>
        <w:pStyle w:val="Caption"/>
      </w:pPr>
      <w:r>
        <w:t xml:space="preserve">Figure </w:t>
      </w:r>
      <w:r w:rsidR="00861B58">
        <w:fldChar w:fldCharType="begin"/>
      </w:r>
      <w:r w:rsidR="00861B58">
        <w:instrText xml:space="preserve"> SEQ Figure \* ARABIC </w:instrText>
      </w:r>
      <w:r w:rsidR="00861B58">
        <w:fldChar w:fldCharType="separate"/>
      </w:r>
      <w:r w:rsidR="00F001C7">
        <w:rPr>
          <w:noProof/>
        </w:rPr>
        <w:t>2</w:t>
      </w:r>
      <w:r w:rsidR="00861B58">
        <w:rPr>
          <w:noProof/>
        </w:rPr>
        <w:fldChar w:fldCharType="end"/>
      </w:r>
      <w:r>
        <w:t>: Number of occurences of the DU</w:t>
      </w:r>
      <w:r w:rsidR="00BA182A">
        <w:t>S (and sequences similar to it) in the H. Influenzae genome.</w:t>
      </w:r>
    </w:p>
    <w:p w:rsidR="002315C3" w:rsidRDefault="00203914" w:rsidP="0081730E">
      <w:pPr>
        <w:rPr>
          <w:sz w:val="24"/>
          <w:szCs w:val="24"/>
        </w:rPr>
      </w:pPr>
      <w:r>
        <w:rPr>
          <w:sz w:val="24"/>
        </w:rPr>
        <w:t>Both</w:t>
      </w:r>
      <w:r w:rsidR="00A56F66">
        <w:rPr>
          <w:sz w:val="24"/>
        </w:rPr>
        <w:t xml:space="preserve"> intergenic </w:t>
      </w:r>
      <w:r>
        <w:rPr>
          <w:sz w:val="24"/>
          <w:szCs w:val="24"/>
        </w:rPr>
        <w:t xml:space="preserve">and gene sequences </w:t>
      </w:r>
      <w:r w:rsidR="00A56F66" w:rsidRPr="00A56F66">
        <w:rPr>
          <w:sz w:val="24"/>
          <w:szCs w:val="24"/>
        </w:rPr>
        <w:t xml:space="preserve">of </w:t>
      </w:r>
      <w:r w:rsidR="00A56F66" w:rsidRPr="00A56F66">
        <w:rPr>
          <w:i/>
          <w:sz w:val="24"/>
          <w:szCs w:val="24"/>
        </w:rPr>
        <w:t>H. Influenzae</w:t>
      </w:r>
      <w:r w:rsidR="00A56F66">
        <w:rPr>
          <w:sz w:val="24"/>
          <w:szCs w:val="24"/>
        </w:rPr>
        <w:t xml:space="preserve"> were </w:t>
      </w:r>
      <w:r w:rsidR="00983CF2">
        <w:rPr>
          <w:sz w:val="24"/>
          <w:szCs w:val="24"/>
        </w:rPr>
        <w:t xml:space="preserve">separately </w:t>
      </w:r>
      <w:r>
        <w:rPr>
          <w:sz w:val="24"/>
          <w:szCs w:val="24"/>
        </w:rPr>
        <w:t>analyzed for counts of the DUS</w:t>
      </w:r>
      <w:r w:rsidR="00983CF2">
        <w:rPr>
          <w:sz w:val="24"/>
          <w:szCs w:val="24"/>
        </w:rPr>
        <w:t>, using the commands below:</w:t>
      </w:r>
    </w:p>
    <w:p w:rsidR="00BA182A" w:rsidRDefault="00BA182A" w:rsidP="0081730E">
      <w:pPr>
        <w:rPr>
          <w:sz w:val="24"/>
          <w:szCs w:val="24"/>
        </w:rPr>
      </w:pPr>
    </w:p>
    <w:p w:rsidR="00BA477A" w:rsidRDefault="00B43C6A" w:rsidP="00BA477A">
      <w:pPr>
        <w:keepNext/>
      </w:pPr>
      <w:r>
        <w:rPr>
          <w:noProof/>
          <w:sz w:val="24"/>
          <w:szCs w:val="24"/>
        </w:rPr>
        <w:drawing>
          <wp:inline distT="0" distB="0" distL="0" distR="0" wp14:anchorId="0E7848E9" wp14:editId="3791D435">
            <wp:extent cx="59340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42900"/>
                    </a:xfrm>
                    <a:prstGeom prst="rect">
                      <a:avLst/>
                    </a:prstGeom>
                    <a:noFill/>
                    <a:ln>
                      <a:noFill/>
                    </a:ln>
                  </pic:spPr>
                </pic:pic>
              </a:graphicData>
            </a:graphic>
          </wp:inline>
        </w:drawing>
      </w:r>
    </w:p>
    <w:p w:rsidR="00F72823" w:rsidRDefault="00BA477A" w:rsidP="00BA477A">
      <w:pPr>
        <w:pStyle w:val="Caption"/>
        <w:rPr>
          <w:sz w:val="24"/>
          <w:szCs w:val="24"/>
        </w:rPr>
      </w:pPr>
      <w:r>
        <w:t xml:space="preserve">Figure </w:t>
      </w:r>
      <w:r>
        <w:fldChar w:fldCharType="begin"/>
      </w:r>
      <w:r>
        <w:instrText xml:space="preserve"> SEQ Figure \* ARABIC </w:instrText>
      </w:r>
      <w:r>
        <w:fldChar w:fldCharType="separate"/>
      </w:r>
      <w:r w:rsidR="00F001C7">
        <w:rPr>
          <w:noProof/>
        </w:rPr>
        <w:t>3</w:t>
      </w:r>
      <w:r>
        <w:fldChar w:fldCharType="end"/>
      </w:r>
      <w:r>
        <w:t>: Number of occurrences of the DUS (and sequences similar to i</w:t>
      </w:r>
      <w:r w:rsidR="008E7E42">
        <w:t>t) in intergenic-sequences-of</w:t>
      </w:r>
      <w:r>
        <w:t xml:space="preserve"> the H. Influenzae genome.</w:t>
      </w:r>
    </w:p>
    <w:p w:rsidR="008E7E42" w:rsidRDefault="00B43C6A" w:rsidP="008E7E42">
      <w:pPr>
        <w:keepNext/>
      </w:pPr>
      <w:r>
        <w:rPr>
          <w:noProof/>
          <w:sz w:val="24"/>
          <w:szCs w:val="24"/>
        </w:rPr>
        <w:drawing>
          <wp:inline distT="0" distB="0" distL="0" distR="0" wp14:anchorId="5A6059C3" wp14:editId="3D6064E8">
            <wp:extent cx="59436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0525"/>
                    </a:xfrm>
                    <a:prstGeom prst="rect">
                      <a:avLst/>
                    </a:prstGeom>
                    <a:noFill/>
                    <a:ln>
                      <a:noFill/>
                    </a:ln>
                  </pic:spPr>
                </pic:pic>
              </a:graphicData>
            </a:graphic>
          </wp:inline>
        </w:drawing>
      </w:r>
    </w:p>
    <w:p w:rsidR="00B43C6A" w:rsidRDefault="008E7E42" w:rsidP="008E7E42">
      <w:pPr>
        <w:pStyle w:val="Caption"/>
        <w:rPr>
          <w:sz w:val="24"/>
          <w:szCs w:val="24"/>
        </w:rPr>
      </w:pPr>
      <w:r>
        <w:t xml:space="preserve">Figure </w:t>
      </w:r>
      <w:r>
        <w:fldChar w:fldCharType="begin"/>
      </w:r>
      <w:r>
        <w:instrText xml:space="preserve"> SEQ Figure \* ARABIC </w:instrText>
      </w:r>
      <w:r>
        <w:fldChar w:fldCharType="separate"/>
      </w:r>
      <w:r w:rsidR="00F001C7">
        <w:rPr>
          <w:noProof/>
        </w:rPr>
        <w:t>4</w:t>
      </w:r>
      <w:r>
        <w:fldChar w:fldCharType="end"/>
      </w:r>
      <w:r>
        <w:t xml:space="preserve">: </w:t>
      </w:r>
      <w:r w:rsidRPr="00082BDD">
        <w:t>Number of occurrences of the DUS (and sequences similar t</w:t>
      </w:r>
      <w:r>
        <w:t>o it) in genes of</w:t>
      </w:r>
      <w:r w:rsidRPr="00082BDD">
        <w:t xml:space="preserve"> the H. Influenzae genome.</w:t>
      </w:r>
    </w:p>
    <w:p w:rsidR="00AA0A55" w:rsidRDefault="00A2513C" w:rsidP="0081730E">
      <w:pPr>
        <w:rPr>
          <w:sz w:val="24"/>
          <w:szCs w:val="24"/>
        </w:rPr>
      </w:pPr>
      <w:r>
        <w:rPr>
          <w:sz w:val="24"/>
          <w:szCs w:val="24"/>
        </w:rPr>
        <w:t>To obtain a visual comparison of the most overrepresented sequences, an alignment was performed. The commands for the alignment are as shown below:</w:t>
      </w:r>
    </w:p>
    <w:p w:rsidR="00F001C7" w:rsidRDefault="00A2513C" w:rsidP="00F001C7">
      <w:pPr>
        <w:keepNext/>
      </w:pPr>
      <w:r>
        <w:rPr>
          <w:noProof/>
          <w:sz w:val="24"/>
          <w:szCs w:val="24"/>
        </w:rPr>
        <w:drawing>
          <wp:inline distT="0" distB="0" distL="0" distR="0" wp14:anchorId="6E35362D" wp14:editId="0A6C5C7B">
            <wp:extent cx="59340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38125"/>
                    </a:xfrm>
                    <a:prstGeom prst="rect">
                      <a:avLst/>
                    </a:prstGeom>
                    <a:noFill/>
                    <a:ln>
                      <a:noFill/>
                    </a:ln>
                  </pic:spPr>
                </pic:pic>
              </a:graphicData>
            </a:graphic>
          </wp:inline>
        </w:drawing>
      </w:r>
    </w:p>
    <w:p w:rsidR="00A2513C" w:rsidRPr="00831E03" w:rsidRDefault="00F001C7" w:rsidP="00F001C7">
      <w:pPr>
        <w:pStyle w:val="Caption"/>
        <w:rPr>
          <w:sz w:val="24"/>
          <w:szCs w:val="24"/>
        </w:rPr>
      </w:pPr>
      <w:r>
        <w:t xml:space="preserve">Figure </w:t>
      </w:r>
      <w:r>
        <w:fldChar w:fldCharType="begin"/>
      </w:r>
      <w:r>
        <w:instrText xml:space="preserve"> SEQ Figure \* ARABIC </w:instrText>
      </w:r>
      <w:r>
        <w:fldChar w:fldCharType="separate"/>
      </w:r>
      <w:r>
        <w:rPr>
          <w:noProof/>
        </w:rPr>
        <w:t>5</w:t>
      </w:r>
      <w:r>
        <w:fldChar w:fldCharType="end"/>
      </w:r>
      <w:r>
        <w:t>: Command for alignment.</w:t>
      </w:r>
    </w:p>
    <w:p w:rsidR="007767F2" w:rsidRPr="00F72823" w:rsidRDefault="007767F2" w:rsidP="0081730E">
      <w:pPr>
        <w:rPr>
          <w:sz w:val="24"/>
        </w:rPr>
      </w:pPr>
      <w:r>
        <w:rPr>
          <w:b/>
          <w:sz w:val="24"/>
        </w:rPr>
        <w:t>Results</w:t>
      </w:r>
      <w:r w:rsidR="006A443A">
        <w:rPr>
          <w:b/>
          <w:sz w:val="24"/>
        </w:rPr>
        <w:t xml:space="preserve"> and Discussion</w:t>
      </w:r>
    </w:p>
    <w:p w:rsidR="007767F2" w:rsidRPr="00ED1AD6" w:rsidRDefault="00A56F66" w:rsidP="0081730E">
      <w:pPr>
        <w:rPr>
          <w:sz w:val="24"/>
          <w:szCs w:val="24"/>
        </w:rPr>
      </w:pPr>
      <w:r>
        <w:rPr>
          <w:sz w:val="24"/>
        </w:rPr>
        <w:t xml:space="preserve">The most common </w:t>
      </w:r>
      <w:r w:rsidR="006A443A">
        <w:rPr>
          <w:sz w:val="24"/>
        </w:rPr>
        <w:t xml:space="preserve">9 nt </w:t>
      </w:r>
      <w:r>
        <w:rPr>
          <w:sz w:val="24"/>
        </w:rPr>
        <w:t xml:space="preserve">sequence </w:t>
      </w:r>
      <w:r w:rsidR="006A443A">
        <w:rPr>
          <w:sz w:val="24"/>
        </w:rPr>
        <w:t xml:space="preserve">in the </w:t>
      </w:r>
      <w:r w:rsidR="006A443A" w:rsidRPr="00B23258">
        <w:rPr>
          <w:i/>
          <w:sz w:val="24"/>
        </w:rPr>
        <w:t>H. influenza</w:t>
      </w:r>
      <w:r w:rsidR="006A443A">
        <w:rPr>
          <w:i/>
          <w:sz w:val="24"/>
        </w:rPr>
        <w:t>e</w:t>
      </w:r>
      <w:r w:rsidR="006A443A">
        <w:rPr>
          <w:sz w:val="24"/>
        </w:rPr>
        <w:t xml:space="preserve"> genome </w:t>
      </w:r>
      <w:r>
        <w:rPr>
          <w:sz w:val="24"/>
        </w:rPr>
        <w:t>was “AAGTGCGGT</w:t>
      </w:r>
      <w:r w:rsidR="006A443A">
        <w:rPr>
          <w:sz w:val="24"/>
        </w:rPr>
        <w:t>”</w:t>
      </w:r>
      <w:r w:rsidR="005B1FE8">
        <w:rPr>
          <w:sz w:val="24"/>
        </w:rPr>
        <w:t>, which</w:t>
      </w:r>
      <w:r>
        <w:rPr>
          <w:sz w:val="24"/>
        </w:rPr>
        <w:t xml:space="preserve"> is the same DUS </w:t>
      </w:r>
      <w:r w:rsidR="00DB487B">
        <w:rPr>
          <w:sz w:val="24"/>
        </w:rPr>
        <w:t xml:space="preserve">reported by Smith et al (1995). This serves, to an extent, as a validation of the methods used </w:t>
      </w:r>
      <w:r w:rsidR="009C0D7A">
        <w:rPr>
          <w:sz w:val="24"/>
        </w:rPr>
        <w:t xml:space="preserve">to determine the DUS. </w:t>
      </w:r>
      <w:r w:rsidR="001228AE">
        <w:rPr>
          <w:sz w:val="24"/>
        </w:rPr>
        <w:t xml:space="preserve">Table 1 contains a list of </w:t>
      </w:r>
      <w:r w:rsidR="00431714">
        <w:rPr>
          <w:sz w:val="24"/>
        </w:rPr>
        <w:t xml:space="preserve">the DNA uptake sequences for the 5 pathogenic </w:t>
      </w:r>
      <w:r w:rsidR="00431714">
        <w:rPr>
          <w:i/>
          <w:sz w:val="24"/>
        </w:rPr>
        <w:t xml:space="preserve">Haemophilus </w:t>
      </w:r>
      <w:r w:rsidR="00431714">
        <w:rPr>
          <w:sz w:val="24"/>
        </w:rPr>
        <w:t xml:space="preserve">species that were observed. Additionally, presented in Table 1 is the </w:t>
      </w:r>
      <w:r w:rsidR="00431714" w:rsidRPr="00ED1AD6">
        <w:rPr>
          <w:sz w:val="24"/>
          <w:szCs w:val="24"/>
        </w:rPr>
        <w:t xml:space="preserve">count of </w:t>
      </w:r>
      <w:r w:rsidR="0087265E" w:rsidRPr="00ED1AD6">
        <w:rPr>
          <w:sz w:val="24"/>
          <w:szCs w:val="24"/>
        </w:rPr>
        <w:t xml:space="preserve">the occurrences of </w:t>
      </w:r>
      <w:r w:rsidR="00074F0F" w:rsidRPr="00ED1AD6">
        <w:rPr>
          <w:sz w:val="24"/>
          <w:szCs w:val="24"/>
        </w:rPr>
        <w:t>DNA uptake sequences in the genomes of the organisms, and the count in specific regions of the organism.</w:t>
      </w:r>
    </w:p>
    <w:tbl>
      <w:tblPr>
        <w:tblStyle w:val="TableGrid"/>
        <w:tblW w:w="10284" w:type="dxa"/>
        <w:tblLook w:val="04A0" w:firstRow="1" w:lastRow="0" w:firstColumn="1" w:lastColumn="0" w:noHBand="0" w:noVBand="1"/>
      </w:tblPr>
      <w:tblGrid>
        <w:gridCol w:w="2178"/>
        <w:gridCol w:w="2212"/>
        <w:gridCol w:w="1819"/>
        <w:gridCol w:w="2052"/>
        <w:gridCol w:w="2023"/>
      </w:tblGrid>
      <w:tr w:rsidR="00AE0D8C" w:rsidRPr="00ED1AD6" w:rsidTr="00B23258">
        <w:tc>
          <w:tcPr>
            <w:tcW w:w="2178" w:type="dxa"/>
          </w:tcPr>
          <w:p w:rsidR="00AE0D8C" w:rsidRPr="00ED1AD6" w:rsidRDefault="00AE0D8C" w:rsidP="0025449B">
            <w:pPr>
              <w:jc w:val="center"/>
              <w:rPr>
                <w:b/>
                <w:sz w:val="24"/>
                <w:szCs w:val="24"/>
              </w:rPr>
            </w:pPr>
            <w:r w:rsidRPr="00ED1AD6">
              <w:rPr>
                <w:b/>
                <w:sz w:val="24"/>
                <w:szCs w:val="24"/>
              </w:rPr>
              <w:t>Organism</w:t>
            </w:r>
          </w:p>
        </w:tc>
        <w:tc>
          <w:tcPr>
            <w:tcW w:w="2212" w:type="dxa"/>
          </w:tcPr>
          <w:p w:rsidR="00AE0D8C" w:rsidRPr="00ED1AD6" w:rsidRDefault="00AE0D8C" w:rsidP="0025449B">
            <w:pPr>
              <w:jc w:val="center"/>
              <w:rPr>
                <w:b/>
                <w:sz w:val="24"/>
                <w:szCs w:val="24"/>
              </w:rPr>
            </w:pPr>
            <w:r w:rsidRPr="00ED1AD6">
              <w:rPr>
                <w:b/>
                <w:sz w:val="24"/>
                <w:szCs w:val="24"/>
              </w:rPr>
              <w:t>DNA uptake sequence (DUS)</w:t>
            </w:r>
          </w:p>
        </w:tc>
        <w:tc>
          <w:tcPr>
            <w:tcW w:w="1819" w:type="dxa"/>
          </w:tcPr>
          <w:p w:rsidR="00AE0D8C" w:rsidRPr="00ED1AD6" w:rsidRDefault="00431714" w:rsidP="0025449B">
            <w:pPr>
              <w:jc w:val="center"/>
              <w:rPr>
                <w:b/>
                <w:sz w:val="24"/>
                <w:szCs w:val="24"/>
              </w:rPr>
            </w:pPr>
            <w:r w:rsidRPr="00ED1AD6">
              <w:rPr>
                <w:b/>
                <w:sz w:val="24"/>
                <w:szCs w:val="24"/>
              </w:rPr>
              <w:t>Count</w:t>
            </w:r>
            <w:r w:rsidR="00AE0D8C" w:rsidRPr="00ED1AD6">
              <w:rPr>
                <w:b/>
                <w:sz w:val="24"/>
                <w:szCs w:val="24"/>
              </w:rPr>
              <w:t xml:space="preserve"> of DUS in genome</w:t>
            </w:r>
          </w:p>
        </w:tc>
        <w:tc>
          <w:tcPr>
            <w:tcW w:w="2052" w:type="dxa"/>
          </w:tcPr>
          <w:p w:rsidR="00AE0D8C" w:rsidRPr="00ED1AD6" w:rsidRDefault="00431714" w:rsidP="0025449B">
            <w:pPr>
              <w:jc w:val="center"/>
              <w:rPr>
                <w:b/>
                <w:sz w:val="24"/>
                <w:szCs w:val="24"/>
              </w:rPr>
            </w:pPr>
            <w:r w:rsidRPr="00ED1AD6">
              <w:rPr>
                <w:b/>
                <w:sz w:val="24"/>
                <w:szCs w:val="24"/>
              </w:rPr>
              <w:t xml:space="preserve">Count </w:t>
            </w:r>
            <w:r w:rsidR="00AE0D8C" w:rsidRPr="00ED1AD6">
              <w:rPr>
                <w:b/>
                <w:sz w:val="24"/>
                <w:szCs w:val="24"/>
              </w:rPr>
              <w:t>of DUS intergenically</w:t>
            </w:r>
          </w:p>
        </w:tc>
        <w:tc>
          <w:tcPr>
            <w:tcW w:w="2023" w:type="dxa"/>
          </w:tcPr>
          <w:p w:rsidR="00AE0D8C" w:rsidRPr="00ED1AD6" w:rsidRDefault="00431714" w:rsidP="0025449B">
            <w:pPr>
              <w:jc w:val="center"/>
              <w:rPr>
                <w:b/>
                <w:sz w:val="24"/>
                <w:szCs w:val="24"/>
              </w:rPr>
            </w:pPr>
            <w:r w:rsidRPr="00ED1AD6">
              <w:rPr>
                <w:b/>
                <w:sz w:val="24"/>
                <w:szCs w:val="24"/>
              </w:rPr>
              <w:t xml:space="preserve">Count </w:t>
            </w:r>
            <w:r w:rsidR="00AE0D8C" w:rsidRPr="00ED1AD6">
              <w:rPr>
                <w:b/>
                <w:sz w:val="24"/>
                <w:szCs w:val="24"/>
              </w:rPr>
              <w:t>of DUS within genes</w:t>
            </w:r>
          </w:p>
        </w:tc>
      </w:tr>
      <w:tr w:rsidR="00B23258" w:rsidRPr="00ED1AD6" w:rsidTr="00B23258">
        <w:tc>
          <w:tcPr>
            <w:tcW w:w="2178" w:type="dxa"/>
          </w:tcPr>
          <w:p w:rsidR="00B23258" w:rsidRPr="00ED1AD6" w:rsidRDefault="00B23258" w:rsidP="00376B15">
            <w:pPr>
              <w:rPr>
                <w:b/>
                <w:i/>
                <w:sz w:val="24"/>
                <w:szCs w:val="24"/>
              </w:rPr>
            </w:pPr>
            <w:r w:rsidRPr="00ED1AD6">
              <w:rPr>
                <w:i/>
                <w:sz w:val="24"/>
                <w:szCs w:val="24"/>
              </w:rPr>
              <w:t>H. influenza</w:t>
            </w:r>
            <w:r w:rsidR="006A443A" w:rsidRPr="00ED1AD6">
              <w:rPr>
                <w:i/>
                <w:sz w:val="24"/>
                <w:szCs w:val="24"/>
              </w:rPr>
              <w:t>e</w:t>
            </w:r>
          </w:p>
        </w:tc>
        <w:tc>
          <w:tcPr>
            <w:tcW w:w="2212" w:type="dxa"/>
          </w:tcPr>
          <w:p w:rsidR="00B23258" w:rsidRPr="00ED1AD6" w:rsidRDefault="00B23258" w:rsidP="0081730E">
            <w:pPr>
              <w:rPr>
                <w:sz w:val="24"/>
                <w:szCs w:val="24"/>
              </w:rPr>
            </w:pPr>
            <w:r w:rsidRPr="00ED1AD6">
              <w:rPr>
                <w:sz w:val="24"/>
                <w:szCs w:val="24"/>
              </w:rPr>
              <w:t>AAGTGCGGT</w:t>
            </w:r>
          </w:p>
        </w:tc>
        <w:tc>
          <w:tcPr>
            <w:tcW w:w="1819" w:type="dxa"/>
          </w:tcPr>
          <w:p w:rsidR="00B23258" w:rsidRPr="00ED1AD6" w:rsidRDefault="008661D3" w:rsidP="0081730E">
            <w:pPr>
              <w:rPr>
                <w:sz w:val="24"/>
                <w:szCs w:val="24"/>
              </w:rPr>
            </w:pPr>
            <w:r w:rsidRPr="00ED1AD6">
              <w:rPr>
                <w:sz w:val="24"/>
                <w:szCs w:val="24"/>
              </w:rPr>
              <w:t>737</w:t>
            </w:r>
          </w:p>
        </w:tc>
        <w:tc>
          <w:tcPr>
            <w:tcW w:w="2052" w:type="dxa"/>
          </w:tcPr>
          <w:p w:rsidR="00B23258" w:rsidRPr="00ED1AD6" w:rsidRDefault="008661D3" w:rsidP="0081730E">
            <w:pPr>
              <w:rPr>
                <w:sz w:val="24"/>
                <w:szCs w:val="24"/>
              </w:rPr>
            </w:pPr>
            <w:r w:rsidRPr="00ED1AD6">
              <w:rPr>
                <w:sz w:val="24"/>
                <w:szCs w:val="24"/>
              </w:rPr>
              <w:t>241</w:t>
            </w:r>
          </w:p>
        </w:tc>
        <w:tc>
          <w:tcPr>
            <w:tcW w:w="2023" w:type="dxa"/>
          </w:tcPr>
          <w:p w:rsidR="00B23258" w:rsidRPr="00ED1AD6" w:rsidRDefault="008661D3" w:rsidP="0081730E">
            <w:pPr>
              <w:rPr>
                <w:sz w:val="24"/>
                <w:szCs w:val="24"/>
              </w:rPr>
            </w:pPr>
            <w:r w:rsidRPr="00ED1AD6">
              <w:rPr>
                <w:sz w:val="24"/>
                <w:szCs w:val="24"/>
              </w:rPr>
              <w:t>393</w:t>
            </w:r>
          </w:p>
        </w:tc>
      </w:tr>
      <w:tr w:rsidR="00B23258" w:rsidRPr="00ED1AD6" w:rsidTr="00B23258">
        <w:tc>
          <w:tcPr>
            <w:tcW w:w="2178" w:type="dxa"/>
          </w:tcPr>
          <w:p w:rsidR="00B23258" w:rsidRPr="00ED1AD6" w:rsidRDefault="00B23258" w:rsidP="00376B15">
            <w:pPr>
              <w:rPr>
                <w:b/>
                <w:i/>
                <w:sz w:val="24"/>
                <w:szCs w:val="24"/>
              </w:rPr>
            </w:pPr>
            <w:r w:rsidRPr="00ED1AD6">
              <w:rPr>
                <w:i/>
                <w:sz w:val="24"/>
                <w:szCs w:val="24"/>
              </w:rPr>
              <w:t>H. parainfluenzae</w:t>
            </w:r>
          </w:p>
        </w:tc>
        <w:tc>
          <w:tcPr>
            <w:tcW w:w="2212" w:type="dxa"/>
          </w:tcPr>
          <w:p w:rsidR="00B23258" w:rsidRPr="00ED1AD6" w:rsidRDefault="00402B3B" w:rsidP="0081730E">
            <w:pPr>
              <w:rPr>
                <w:sz w:val="24"/>
                <w:szCs w:val="24"/>
              </w:rPr>
            </w:pPr>
            <w:r w:rsidRPr="00ED1AD6">
              <w:rPr>
                <w:sz w:val="24"/>
                <w:szCs w:val="24"/>
              </w:rPr>
              <w:t xml:space="preserve">ACCGCACTT </w:t>
            </w:r>
            <w:r w:rsidRPr="00727AA0">
              <w:rPr>
                <w:b/>
                <w:sz w:val="24"/>
                <w:szCs w:val="24"/>
              </w:rPr>
              <w:t>AAGTGCGGT</w:t>
            </w:r>
          </w:p>
        </w:tc>
        <w:tc>
          <w:tcPr>
            <w:tcW w:w="1819" w:type="dxa"/>
          </w:tcPr>
          <w:p w:rsidR="00B23258" w:rsidRPr="00ED1AD6" w:rsidRDefault="0042005E" w:rsidP="0081730E">
            <w:pPr>
              <w:rPr>
                <w:sz w:val="24"/>
                <w:szCs w:val="24"/>
              </w:rPr>
            </w:pPr>
            <w:r w:rsidRPr="00ED1AD6">
              <w:rPr>
                <w:sz w:val="24"/>
                <w:szCs w:val="24"/>
              </w:rPr>
              <w:t xml:space="preserve">742, </w:t>
            </w:r>
            <w:r w:rsidR="00D04A4E" w:rsidRPr="00ED1AD6">
              <w:rPr>
                <w:sz w:val="24"/>
                <w:szCs w:val="24"/>
              </w:rPr>
              <w:t>718</w:t>
            </w:r>
          </w:p>
        </w:tc>
        <w:tc>
          <w:tcPr>
            <w:tcW w:w="2052" w:type="dxa"/>
          </w:tcPr>
          <w:p w:rsidR="00B23258" w:rsidRPr="00ED1AD6" w:rsidRDefault="00B23258" w:rsidP="0081730E">
            <w:pPr>
              <w:rPr>
                <w:sz w:val="24"/>
                <w:szCs w:val="24"/>
              </w:rPr>
            </w:pPr>
          </w:p>
        </w:tc>
        <w:tc>
          <w:tcPr>
            <w:tcW w:w="2023" w:type="dxa"/>
          </w:tcPr>
          <w:p w:rsidR="00B23258" w:rsidRPr="00ED1AD6" w:rsidRDefault="00B23258" w:rsidP="0081730E">
            <w:pPr>
              <w:rPr>
                <w:sz w:val="24"/>
                <w:szCs w:val="24"/>
              </w:rPr>
            </w:pPr>
          </w:p>
        </w:tc>
      </w:tr>
      <w:tr w:rsidR="00B23258" w:rsidRPr="00ED1AD6" w:rsidTr="00B23258">
        <w:tc>
          <w:tcPr>
            <w:tcW w:w="2178" w:type="dxa"/>
          </w:tcPr>
          <w:p w:rsidR="00B23258" w:rsidRPr="00ED1AD6" w:rsidRDefault="00B23258" w:rsidP="00376B15">
            <w:pPr>
              <w:rPr>
                <w:b/>
                <w:i/>
                <w:sz w:val="24"/>
                <w:szCs w:val="24"/>
              </w:rPr>
            </w:pPr>
            <w:r w:rsidRPr="00ED1AD6">
              <w:rPr>
                <w:i/>
                <w:sz w:val="24"/>
                <w:szCs w:val="24"/>
              </w:rPr>
              <w:t>H. ducreyi</w:t>
            </w:r>
          </w:p>
        </w:tc>
        <w:tc>
          <w:tcPr>
            <w:tcW w:w="2212" w:type="dxa"/>
          </w:tcPr>
          <w:p w:rsidR="00B23258" w:rsidRPr="00ED1AD6" w:rsidRDefault="00026FE6" w:rsidP="0081730E">
            <w:pPr>
              <w:rPr>
                <w:sz w:val="24"/>
                <w:szCs w:val="24"/>
              </w:rPr>
            </w:pPr>
            <w:r w:rsidRPr="00ED1AD6">
              <w:rPr>
                <w:sz w:val="24"/>
                <w:szCs w:val="24"/>
              </w:rPr>
              <w:t>TTTTTTATT</w:t>
            </w:r>
          </w:p>
        </w:tc>
        <w:tc>
          <w:tcPr>
            <w:tcW w:w="1819" w:type="dxa"/>
          </w:tcPr>
          <w:p w:rsidR="00B23258" w:rsidRPr="00ED1AD6" w:rsidRDefault="00026FE6" w:rsidP="0081730E">
            <w:pPr>
              <w:rPr>
                <w:sz w:val="24"/>
                <w:szCs w:val="24"/>
              </w:rPr>
            </w:pPr>
            <w:r w:rsidRPr="00ED1AD6">
              <w:rPr>
                <w:sz w:val="24"/>
                <w:szCs w:val="24"/>
              </w:rPr>
              <w:t>130</w:t>
            </w:r>
          </w:p>
        </w:tc>
        <w:tc>
          <w:tcPr>
            <w:tcW w:w="2052" w:type="dxa"/>
          </w:tcPr>
          <w:p w:rsidR="00B23258" w:rsidRPr="00ED1AD6" w:rsidRDefault="008F4A81" w:rsidP="0081730E">
            <w:pPr>
              <w:rPr>
                <w:sz w:val="24"/>
                <w:szCs w:val="24"/>
              </w:rPr>
            </w:pPr>
            <w:r w:rsidRPr="00ED1AD6">
              <w:rPr>
                <w:sz w:val="24"/>
                <w:szCs w:val="24"/>
              </w:rPr>
              <w:t>55</w:t>
            </w:r>
          </w:p>
        </w:tc>
        <w:tc>
          <w:tcPr>
            <w:tcW w:w="2023" w:type="dxa"/>
          </w:tcPr>
          <w:p w:rsidR="00B23258" w:rsidRPr="00ED1AD6" w:rsidRDefault="008F4A81" w:rsidP="0081730E">
            <w:pPr>
              <w:rPr>
                <w:sz w:val="24"/>
                <w:szCs w:val="24"/>
              </w:rPr>
            </w:pPr>
            <w:r w:rsidRPr="00ED1AD6">
              <w:rPr>
                <w:sz w:val="24"/>
                <w:szCs w:val="24"/>
              </w:rPr>
              <w:t>66</w:t>
            </w:r>
          </w:p>
        </w:tc>
      </w:tr>
      <w:tr w:rsidR="00B23258" w:rsidRPr="00ED1AD6" w:rsidTr="00B23258">
        <w:tc>
          <w:tcPr>
            <w:tcW w:w="2178" w:type="dxa"/>
          </w:tcPr>
          <w:p w:rsidR="00B23258" w:rsidRPr="00ED1AD6" w:rsidRDefault="00B23258" w:rsidP="00376B15">
            <w:pPr>
              <w:rPr>
                <w:b/>
                <w:i/>
                <w:sz w:val="24"/>
                <w:szCs w:val="24"/>
              </w:rPr>
            </w:pPr>
            <w:r w:rsidRPr="00ED1AD6">
              <w:rPr>
                <w:i/>
                <w:sz w:val="24"/>
                <w:szCs w:val="24"/>
              </w:rPr>
              <w:t xml:space="preserve">H. aegyptius </w:t>
            </w:r>
          </w:p>
        </w:tc>
        <w:tc>
          <w:tcPr>
            <w:tcW w:w="2212" w:type="dxa"/>
          </w:tcPr>
          <w:p w:rsidR="00B23258" w:rsidRPr="00ED1AD6" w:rsidRDefault="00294F85" w:rsidP="0081730E">
            <w:pPr>
              <w:rPr>
                <w:sz w:val="24"/>
                <w:szCs w:val="24"/>
              </w:rPr>
            </w:pPr>
            <w:r w:rsidRPr="00ED1AD6">
              <w:rPr>
                <w:sz w:val="24"/>
                <w:szCs w:val="24"/>
              </w:rPr>
              <w:t>ACCGCACTT</w:t>
            </w:r>
          </w:p>
          <w:p w:rsidR="00294F85" w:rsidRPr="00727AA0" w:rsidRDefault="00294F85" w:rsidP="0081730E">
            <w:pPr>
              <w:rPr>
                <w:b/>
                <w:sz w:val="24"/>
                <w:szCs w:val="24"/>
              </w:rPr>
            </w:pPr>
            <w:r w:rsidRPr="00727AA0">
              <w:rPr>
                <w:b/>
                <w:sz w:val="24"/>
                <w:szCs w:val="24"/>
              </w:rPr>
              <w:t>AAGTGCGGT</w:t>
            </w:r>
          </w:p>
        </w:tc>
        <w:tc>
          <w:tcPr>
            <w:tcW w:w="1819" w:type="dxa"/>
          </w:tcPr>
          <w:p w:rsidR="00B23258" w:rsidRPr="00ED1AD6" w:rsidRDefault="00B75E53" w:rsidP="0081730E">
            <w:pPr>
              <w:rPr>
                <w:sz w:val="24"/>
                <w:szCs w:val="24"/>
              </w:rPr>
            </w:pPr>
            <w:r w:rsidRPr="00ED1AD6">
              <w:rPr>
                <w:sz w:val="24"/>
                <w:szCs w:val="24"/>
              </w:rPr>
              <w:t>516, 512</w:t>
            </w:r>
          </w:p>
        </w:tc>
        <w:tc>
          <w:tcPr>
            <w:tcW w:w="2052" w:type="dxa"/>
          </w:tcPr>
          <w:p w:rsidR="00B23258" w:rsidRPr="00ED1AD6" w:rsidRDefault="00B23258" w:rsidP="0081730E">
            <w:pPr>
              <w:rPr>
                <w:sz w:val="24"/>
                <w:szCs w:val="24"/>
              </w:rPr>
            </w:pPr>
          </w:p>
        </w:tc>
        <w:tc>
          <w:tcPr>
            <w:tcW w:w="2023" w:type="dxa"/>
          </w:tcPr>
          <w:p w:rsidR="00B23258" w:rsidRPr="00ED1AD6" w:rsidRDefault="00B23258" w:rsidP="0081730E">
            <w:pPr>
              <w:rPr>
                <w:sz w:val="24"/>
                <w:szCs w:val="24"/>
              </w:rPr>
            </w:pPr>
          </w:p>
        </w:tc>
      </w:tr>
      <w:tr w:rsidR="00B23258" w:rsidRPr="00ED1AD6" w:rsidTr="00B23258">
        <w:tc>
          <w:tcPr>
            <w:tcW w:w="2178" w:type="dxa"/>
          </w:tcPr>
          <w:p w:rsidR="00B23258" w:rsidRPr="00ED1AD6" w:rsidRDefault="00B23258" w:rsidP="00B23258">
            <w:pPr>
              <w:rPr>
                <w:b/>
                <w:i/>
                <w:sz w:val="24"/>
                <w:szCs w:val="24"/>
              </w:rPr>
            </w:pPr>
            <w:r w:rsidRPr="00ED1AD6">
              <w:rPr>
                <w:i/>
                <w:sz w:val="24"/>
                <w:szCs w:val="24"/>
              </w:rPr>
              <w:t>H. aphrophilus</w:t>
            </w:r>
          </w:p>
        </w:tc>
        <w:tc>
          <w:tcPr>
            <w:tcW w:w="2212" w:type="dxa"/>
          </w:tcPr>
          <w:p w:rsidR="00B23258" w:rsidRPr="00ED1AD6" w:rsidRDefault="00DD0E45" w:rsidP="00DD0E45">
            <w:pPr>
              <w:rPr>
                <w:sz w:val="24"/>
                <w:szCs w:val="24"/>
              </w:rPr>
            </w:pPr>
            <w:r w:rsidRPr="00ED1AD6">
              <w:rPr>
                <w:sz w:val="24"/>
                <w:szCs w:val="24"/>
              </w:rPr>
              <w:t xml:space="preserve">ACCGCACTT </w:t>
            </w:r>
            <w:r w:rsidRPr="00727AA0">
              <w:rPr>
                <w:b/>
                <w:sz w:val="24"/>
                <w:szCs w:val="24"/>
              </w:rPr>
              <w:t>AAGTGCGGT</w:t>
            </w:r>
          </w:p>
        </w:tc>
        <w:tc>
          <w:tcPr>
            <w:tcW w:w="1819" w:type="dxa"/>
          </w:tcPr>
          <w:p w:rsidR="00B23258" w:rsidRPr="00ED1AD6" w:rsidRDefault="00AB2ADD" w:rsidP="0081730E">
            <w:pPr>
              <w:rPr>
                <w:sz w:val="24"/>
                <w:szCs w:val="24"/>
              </w:rPr>
            </w:pPr>
            <w:r w:rsidRPr="00ED1AD6">
              <w:rPr>
                <w:sz w:val="24"/>
                <w:szCs w:val="24"/>
              </w:rPr>
              <w:t>945, 912</w:t>
            </w:r>
          </w:p>
        </w:tc>
        <w:tc>
          <w:tcPr>
            <w:tcW w:w="2052" w:type="dxa"/>
          </w:tcPr>
          <w:p w:rsidR="00B23258" w:rsidRPr="00ED1AD6" w:rsidRDefault="00B23258" w:rsidP="0081730E">
            <w:pPr>
              <w:rPr>
                <w:sz w:val="24"/>
                <w:szCs w:val="24"/>
              </w:rPr>
            </w:pPr>
          </w:p>
        </w:tc>
        <w:tc>
          <w:tcPr>
            <w:tcW w:w="2023" w:type="dxa"/>
          </w:tcPr>
          <w:p w:rsidR="00B23258" w:rsidRPr="00ED1AD6" w:rsidRDefault="00B23258" w:rsidP="0081730E">
            <w:pPr>
              <w:rPr>
                <w:sz w:val="24"/>
                <w:szCs w:val="24"/>
              </w:rPr>
            </w:pPr>
          </w:p>
        </w:tc>
      </w:tr>
    </w:tbl>
    <w:p w:rsidR="00FE080E" w:rsidRPr="00ED1AD6" w:rsidRDefault="00FE080E" w:rsidP="0081730E">
      <w:pPr>
        <w:rPr>
          <w:sz w:val="24"/>
          <w:szCs w:val="24"/>
        </w:rPr>
      </w:pPr>
    </w:p>
    <w:p w:rsidR="00FE080E" w:rsidRDefault="00FE080E" w:rsidP="0081730E">
      <w:pPr>
        <w:rPr>
          <w:sz w:val="24"/>
        </w:rPr>
      </w:pPr>
      <w:r w:rsidRPr="00ED1AD6">
        <w:rPr>
          <w:sz w:val="24"/>
          <w:szCs w:val="24"/>
        </w:rPr>
        <w:t xml:space="preserve">The sequence identified in </w:t>
      </w:r>
      <w:r w:rsidRPr="00ED1AD6">
        <w:rPr>
          <w:i/>
          <w:sz w:val="24"/>
          <w:szCs w:val="24"/>
        </w:rPr>
        <w:t>H. influenza</w:t>
      </w:r>
      <w:r w:rsidRPr="00ED1AD6">
        <w:rPr>
          <w:sz w:val="24"/>
          <w:szCs w:val="24"/>
        </w:rPr>
        <w:t xml:space="preserve">e as a DUS was also found in </w:t>
      </w:r>
      <w:r w:rsidRPr="00ED1AD6">
        <w:rPr>
          <w:i/>
          <w:sz w:val="24"/>
          <w:szCs w:val="24"/>
        </w:rPr>
        <w:t xml:space="preserve">H. parainfluenzae, </w:t>
      </w:r>
      <w:r w:rsidRPr="00ED1AD6">
        <w:rPr>
          <w:i/>
          <w:sz w:val="24"/>
          <w:szCs w:val="24"/>
        </w:rPr>
        <w:t>H. aegyptius</w:t>
      </w:r>
      <w:r w:rsidRPr="00ED1AD6">
        <w:rPr>
          <w:i/>
          <w:sz w:val="24"/>
          <w:szCs w:val="24"/>
        </w:rPr>
        <w:t xml:space="preserve">, </w:t>
      </w:r>
      <w:r w:rsidRPr="00ED1AD6">
        <w:rPr>
          <w:sz w:val="24"/>
          <w:szCs w:val="24"/>
        </w:rPr>
        <w:t xml:space="preserve">and </w:t>
      </w:r>
      <w:r w:rsidRPr="00ED1AD6">
        <w:rPr>
          <w:i/>
          <w:sz w:val="24"/>
          <w:szCs w:val="24"/>
        </w:rPr>
        <w:t>H. aphrophilus</w:t>
      </w:r>
      <w:r w:rsidR="005B5874" w:rsidRPr="00ED1AD6">
        <w:rPr>
          <w:sz w:val="24"/>
          <w:szCs w:val="24"/>
        </w:rPr>
        <w:t xml:space="preserve">. However, it </w:t>
      </w:r>
      <w:r w:rsidR="00BA1256" w:rsidRPr="00ED1AD6">
        <w:rPr>
          <w:sz w:val="24"/>
          <w:szCs w:val="24"/>
        </w:rPr>
        <w:t>w</w:t>
      </w:r>
      <w:r w:rsidR="005B5874" w:rsidRPr="00ED1AD6">
        <w:rPr>
          <w:sz w:val="24"/>
          <w:szCs w:val="24"/>
        </w:rPr>
        <w:t xml:space="preserve">as not found </w:t>
      </w:r>
      <w:r w:rsidR="00BA1256" w:rsidRPr="00ED1AD6">
        <w:rPr>
          <w:sz w:val="24"/>
          <w:szCs w:val="24"/>
        </w:rPr>
        <w:t xml:space="preserve">in the genome of </w:t>
      </w:r>
      <w:r w:rsidR="00BA1256" w:rsidRPr="00ED1AD6">
        <w:rPr>
          <w:i/>
          <w:sz w:val="24"/>
          <w:szCs w:val="24"/>
        </w:rPr>
        <w:t>H. Ducreyi</w:t>
      </w:r>
      <w:r w:rsidR="00BA1256" w:rsidRPr="00ED1AD6">
        <w:rPr>
          <w:sz w:val="24"/>
          <w:szCs w:val="24"/>
        </w:rPr>
        <w:t>. Further analysis showed that the most overrepresented 9 nt</w:t>
      </w:r>
      <w:r w:rsidR="004971C6" w:rsidRPr="00ED1AD6">
        <w:rPr>
          <w:sz w:val="24"/>
          <w:szCs w:val="24"/>
        </w:rPr>
        <w:t xml:space="preserve"> </w:t>
      </w:r>
      <w:r w:rsidR="00BA1256" w:rsidRPr="00ED1AD6">
        <w:rPr>
          <w:sz w:val="24"/>
          <w:szCs w:val="24"/>
        </w:rPr>
        <w:t>sequence</w:t>
      </w:r>
      <w:r w:rsidR="00B8799C" w:rsidRPr="00ED1AD6">
        <w:rPr>
          <w:sz w:val="24"/>
          <w:szCs w:val="24"/>
        </w:rPr>
        <w:t xml:space="preserve"> </w:t>
      </w:r>
      <w:r w:rsidR="00B8799C" w:rsidRPr="00ED1AD6">
        <w:rPr>
          <w:sz w:val="24"/>
          <w:szCs w:val="24"/>
        </w:rPr>
        <w:t>(“TTTTTTATT”, see above)</w:t>
      </w:r>
      <w:r w:rsidR="00BA1256" w:rsidRPr="00ED1AD6">
        <w:rPr>
          <w:sz w:val="24"/>
          <w:szCs w:val="24"/>
        </w:rPr>
        <w:t xml:space="preserve"> only occurred 130 times. This does no</w:t>
      </w:r>
      <w:r w:rsidR="004971C6" w:rsidRPr="00ED1AD6">
        <w:rPr>
          <w:sz w:val="24"/>
          <w:szCs w:val="24"/>
        </w:rPr>
        <w:t xml:space="preserve">t meet the criteria for being considered a DUS, as it is not overrepresented enough (for comparison, see the DUS in the other species analyzed). </w:t>
      </w:r>
      <w:r w:rsidR="00B8799C" w:rsidRPr="00ED1AD6">
        <w:rPr>
          <w:sz w:val="24"/>
          <w:szCs w:val="24"/>
        </w:rPr>
        <w:t xml:space="preserve">In the </w:t>
      </w:r>
      <w:r w:rsidR="00B8799C" w:rsidRPr="00ED1AD6">
        <w:rPr>
          <w:sz w:val="24"/>
          <w:szCs w:val="24"/>
        </w:rPr>
        <w:lastRenderedPageBreak/>
        <w:t xml:space="preserve">other species analyzed, while the </w:t>
      </w:r>
      <w:r w:rsidR="00D1446D" w:rsidRPr="00ED1AD6">
        <w:rPr>
          <w:sz w:val="24"/>
          <w:szCs w:val="24"/>
        </w:rPr>
        <w:t xml:space="preserve">DUS identified in </w:t>
      </w:r>
      <w:r w:rsidR="00D1446D" w:rsidRPr="00ED1AD6">
        <w:rPr>
          <w:i/>
          <w:sz w:val="24"/>
          <w:szCs w:val="24"/>
        </w:rPr>
        <w:t>H. Influenzae</w:t>
      </w:r>
      <w:r w:rsidR="00D1446D" w:rsidRPr="00ED1AD6">
        <w:rPr>
          <w:sz w:val="24"/>
          <w:szCs w:val="24"/>
        </w:rPr>
        <w:t xml:space="preserve"> was present, it was not the most frequently occurring 9mer.</w:t>
      </w:r>
      <w:r w:rsidR="00C54506" w:rsidRPr="00ED1AD6">
        <w:rPr>
          <w:sz w:val="24"/>
          <w:szCs w:val="24"/>
        </w:rPr>
        <w:t xml:space="preserve"> In fact, another sequence </w:t>
      </w:r>
      <w:r w:rsidR="00716EB4" w:rsidRPr="00ED1AD6">
        <w:rPr>
          <w:sz w:val="24"/>
          <w:szCs w:val="24"/>
        </w:rPr>
        <w:t>(“ACCGCACTT”)</w:t>
      </w:r>
      <w:r w:rsidR="00716EB4" w:rsidRPr="00ED1AD6">
        <w:rPr>
          <w:sz w:val="24"/>
          <w:szCs w:val="24"/>
        </w:rPr>
        <w:t xml:space="preserve"> </w:t>
      </w:r>
      <w:r w:rsidR="00C54506" w:rsidRPr="00ED1AD6">
        <w:rPr>
          <w:sz w:val="24"/>
          <w:szCs w:val="24"/>
        </w:rPr>
        <w:t>had more occu</w:t>
      </w:r>
      <w:r w:rsidR="00716EB4" w:rsidRPr="00ED1AD6">
        <w:rPr>
          <w:sz w:val="24"/>
          <w:szCs w:val="24"/>
        </w:rPr>
        <w:t>r</w:t>
      </w:r>
      <w:r w:rsidR="00C54506" w:rsidRPr="00ED1AD6">
        <w:rPr>
          <w:sz w:val="24"/>
          <w:szCs w:val="24"/>
        </w:rPr>
        <w:t>rences</w:t>
      </w:r>
      <w:r w:rsidR="00716EB4" w:rsidRPr="00ED1AD6">
        <w:rPr>
          <w:sz w:val="24"/>
          <w:szCs w:val="24"/>
        </w:rPr>
        <w:t xml:space="preserve"> in several of the analyzed bacteria genomes (see Table 1). While it may not be apparent, the </w:t>
      </w:r>
      <w:r w:rsidR="00AF0071" w:rsidRPr="00ED1AD6">
        <w:rPr>
          <w:sz w:val="24"/>
          <w:szCs w:val="24"/>
        </w:rPr>
        <w:t>other frequent sequence is the reverse complement of the DU</w:t>
      </w:r>
      <w:r w:rsidR="00AF0071">
        <w:rPr>
          <w:sz w:val="24"/>
        </w:rPr>
        <w:t xml:space="preserve">S, which may account for its high frequency. In order to obtain </w:t>
      </w:r>
      <w:r w:rsidR="00235F7A">
        <w:rPr>
          <w:sz w:val="24"/>
        </w:rPr>
        <w:t>visualization</w:t>
      </w:r>
      <w:r w:rsidR="00AF0071">
        <w:rPr>
          <w:sz w:val="24"/>
        </w:rPr>
        <w:t xml:space="preserve"> for the DUS, an alignment was done (see Fig </w:t>
      </w:r>
      <w:r w:rsidR="00235F7A">
        <w:rPr>
          <w:sz w:val="24"/>
        </w:rPr>
        <w:t>6</w:t>
      </w:r>
      <w:r w:rsidR="00AF0071">
        <w:rPr>
          <w:sz w:val="24"/>
        </w:rPr>
        <w:t xml:space="preserve">). </w:t>
      </w:r>
    </w:p>
    <w:p w:rsidR="00ED1AD6" w:rsidRDefault="00AF0071" w:rsidP="00ED1AD6">
      <w:pPr>
        <w:keepNext/>
      </w:pPr>
      <w:r>
        <w:rPr>
          <w:noProof/>
        </w:rPr>
        <w:drawing>
          <wp:inline distT="0" distB="0" distL="0" distR="0" wp14:anchorId="4968E641" wp14:editId="585619B0">
            <wp:extent cx="2324100" cy="1285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1285875"/>
                    </a:xfrm>
                    <a:prstGeom prst="rect">
                      <a:avLst/>
                    </a:prstGeom>
                    <a:noFill/>
                    <a:ln>
                      <a:noFill/>
                    </a:ln>
                  </pic:spPr>
                </pic:pic>
              </a:graphicData>
            </a:graphic>
          </wp:inline>
        </w:drawing>
      </w:r>
    </w:p>
    <w:p w:rsidR="00AF0071" w:rsidRPr="00D1446D" w:rsidRDefault="00ED1AD6" w:rsidP="00ED1AD6">
      <w:pPr>
        <w:pStyle w:val="Caption"/>
      </w:pPr>
      <w:r>
        <w:t xml:space="preserve">Figure </w:t>
      </w:r>
      <w:r>
        <w:fldChar w:fldCharType="begin"/>
      </w:r>
      <w:r>
        <w:instrText xml:space="preserve"> SEQ Figure \* ARABIC </w:instrText>
      </w:r>
      <w:r>
        <w:fldChar w:fldCharType="separate"/>
      </w:r>
      <w:r w:rsidR="00F001C7">
        <w:rPr>
          <w:noProof/>
        </w:rPr>
        <w:t>6</w:t>
      </w:r>
      <w:r>
        <w:fldChar w:fldCharType="end"/>
      </w:r>
      <w:r>
        <w:t>: DUS alignment. Note that the sequence from H. Ducreyi does not align well with the other sequences, indicating that H. Ducreyi does not possess DUS.</w:t>
      </w:r>
    </w:p>
    <w:p w:rsidR="00D22ADE" w:rsidRPr="00235F7A" w:rsidRDefault="00235F7A" w:rsidP="00235F7A">
      <w:pPr>
        <w:pStyle w:val="ListParagraph"/>
        <w:numPr>
          <w:ilvl w:val="0"/>
          <w:numId w:val="2"/>
        </w:numPr>
        <w:rPr>
          <w:b/>
          <w:sz w:val="24"/>
        </w:rPr>
      </w:pPr>
      <w:r>
        <w:rPr>
          <w:sz w:val="24"/>
        </w:rPr>
        <w:t xml:space="preserve">Intend to create a plot for the distance between the </w:t>
      </w:r>
      <w:r w:rsidR="00861B58">
        <w:rPr>
          <w:sz w:val="24"/>
        </w:rPr>
        <w:t>DUS sequences for each bacterium and potentially analyze areas with irregular frequencies.</w:t>
      </w:r>
      <w:bookmarkStart w:id="0" w:name="_GoBack"/>
      <w:bookmarkEnd w:id="0"/>
    </w:p>
    <w:p w:rsidR="00D22ADE" w:rsidRDefault="001E025C" w:rsidP="001E025C">
      <w:pPr>
        <w:jc w:val="center"/>
        <w:rPr>
          <w:b/>
          <w:sz w:val="24"/>
        </w:rPr>
      </w:pPr>
      <w:r>
        <w:rPr>
          <w:b/>
          <w:sz w:val="24"/>
        </w:rPr>
        <w:t>Works Cited</w:t>
      </w:r>
    </w:p>
    <w:p w:rsidR="001E025C" w:rsidRDefault="00861B58" w:rsidP="001E025C">
      <w:pPr>
        <w:rPr>
          <w:sz w:val="24"/>
        </w:rPr>
      </w:pPr>
      <w:hyperlink r:id="rId13" w:history="1">
        <w:r w:rsidR="001E025C" w:rsidRPr="00FD5514">
          <w:rPr>
            <w:rStyle w:val="Hyperlink"/>
            <w:sz w:val="24"/>
          </w:rPr>
          <w:t>http://www.ncbi.nlm.nih.gov/pubmed/18514361</w:t>
        </w:r>
      </w:hyperlink>
    </w:p>
    <w:p w:rsidR="001E025C" w:rsidRDefault="00861B58" w:rsidP="001E025C">
      <w:pPr>
        <w:rPr>
          <w:sz w:val="24"/>
        </w:rPr>
      </w:pPr>
      <w:hyperlink r:id="rId14" w:anchor="B33" w:history="1">
        <w:r w:rsidR="00696377" w:rsidRPr="00FD5514">
          <w:rPr>
            <w:rStyle w:val="Hyperlink"/>
            <w:sz w:val="24"/>
          </w:rPr>
          <w:t>http://www.ncbi.nlm.nih.gov/pmc/articles/PMC2527708/#B33</w:t>
        </w:r>
      </w:hyperlink>
    </w:p>
    <w:p w:rsidR="00696377" w:rsidRDefault="00696377" w:rsidP="001E025C">
      <w:pPr>
        <w:rPr>
          <w:sz w:val="24"/>
        </w:rPr>
      </w:pPr>
      <w:r w:rsidRPr="00696377">
        <w:rPr>
          <w:sz w:val="24"/>
        </w:rPr>
        <w:t>http://www.sciencedirect.com/science/article/pii/S0888754314002821</w:t>
      </w:r>
    </w:p>
    <w:p w:rsidR="00696377" w:rsidRDefault="00696377" w:rsidP="001E025C">
      <w:pPr>
        <w:rPr>
          <w:sz w:val="24"/>
        </w:rPr>
      </w:pPr>
      <w:r w:rsidRPr="00696377">
        <w:rPr>
          <w:sz w:val="24"/>
        </w:rPr>
        <w:t>Bruijn, F. J. De, James R. Lupski, and George M. Weinstock. Bacterial Genomes: Physical Structure and Analysis. New York: Chapman &amp; Hall, 1998. Print.</w:t>
      </w:r>
    </w:p>
    <w:p w:rsidR="00E02AB2" w:rsidRDefault="00861B58" w:rsidP="001E025C">
      <w:pPr>
        <w:rPr>
          <w:sz w:val="24"/>
        </w:rPr>
      </w:pPr>
      <w:hyperlink r:id="rId15" w:history="1">
        <w:r w:rsidR="00E02AB2" w:rsidRPr="00FD5514">
          <w:rPr>
            <w:rStyle w:val="Hyperlink"/>
            <w:sz w:val="24"/>
          </w:rPr>
          <w:t>http://www.ncbi.nlm.nih.gov/pubmed/10673000</w:t>
        </w:r>
      </w:hyperlink>
    </w:p>
    <w:p w:rsidR="00E02AB2" w:rsidRDefault="00861B58" w:rsidP="001E025C">
      <w:pPr>
        <w:rPr>
          <w:sz w:val="24"/>
        </w:rPr>
      </w:pPr>
      <w:hyperlink r:id="rId16" w:history="1">
        <w:r w:rsidR="001B4012" w:rsidRPr="00FD5514">
          <w:rPr>
            <w:rStyle w:val="Hyperlink"/>
            <w:sz w:val="24"/>
          </w:rPr>
          <w:t>http://journals.plos.org/plosgenetics/article?id=10.1371/journal.pgen.10034583</w:t>
        </w:r>
      </w:hyperlink>
    </w:p>
    <w:p w:rsidR="001B4012" w:rsidRDefault="00861B58" w:rsidP="001E025C">
      <w:pPr>
        <w:rPr>
          <w:sz w:val="24"/>
        </w:rPr>
      </w:pPr>
      <w:hyperlink r:id="rId17" w:history="1">
        <w:r w:rsidR="001B4012" w:rsidRPr="00FD5514">
          <w:rPr>
            <w:rStyle w:val="Hyperlink"/>
            <w:sz w:val="24"/>
          </w:rPr>
          <w:t>http://www.ncbi.nlm.nih.gov/pubmed/20628039</w:t>
        </w:r>
      </w:hyperlink>
    </w:p>
    <w:p w:rsidR="001B4012" w:rsidRDefault="00861B58" w:rsidP="001E025C">
      <w:pPr>
        <w:rPr>
          <w:sz w:val="24"/>
        </w:rPr>
      </w:pPr>
      <w:hyperlink r:id="rId18" w:history="1">
        <w:r w:rsidR="006E6710" w:rsidRPr="00FD5514">
          <w:rPr>
            <w:rStyle w:val="Hyperlink"/>
            <w:sz w:val="24"/>
          </w:rPr>
          <w:t>http://www.ncbi.nlm.nih.gov/pubmed/7542802</w:t>
        </w:r>
      </w:hyperlink>
    </w:p>
    <w:p w:rsidR="006E6710" w:rsidRDefault="006E6710" w:rsidP="001E025C">
      <w:pPr>
        <w:rPr>
          <w:sz w:val="24"/>
        </w:rPr>
      </w:pPr>
      <w:r>
        <w:rPr>
          <w:sz w:val="24"/>
        </w:rPr>
        <w:t>Musher Daniel. Medical Microbiology, 4</w:t>
      </w:r>
      <w:r w:rsidRPr="006E6710">
        <w:rPr>
          <w:sz w:val="24"/>
          <w:vertAlign w:val="superscript"/>
        </w:rPr>
        <w:t>th</w:t>
      </w:r>
      <w:r>
        <w:rPr>
          <w:sz w:val="24"/>
        </w:rPr>
        <w:t xml:space="preserve"> edition. University of Texas Medical B</w:t>
      </w:r>
      <w:r w:rsidR="00B52EAB">
        <w:rPr>
          <w:sz w:val="24"/>
        </w:rPr>
        <w:t>ranch at Galveston, 1996. Online. (</w:t>
      </w:r>
      <w:hyperlink r:id="rId19" w:history="1">
        <w:r w:rsidR="00F45078" w:rsidRPr="00232ED0">
          <w:rPr>
            <w:rStyle w:val="Hyperlink"/>
            <w:sz w:val="24"/>
          </w:rPr>
          <w:t>http://www.ncbi.nlm.nih.gov/books/NBK8458/</w:t>
        </w:r>
      </w:hyperlink>
      <w:r w:rsidR="00B52EAB">
        <w:rPr>
          <w:sz w:val="24"/>
        </w:rPr>
        <w:t>)</w:t>
      </w:r>
    </w:p>
    <w:p w:rsidR="00F45078" w:rsidRPr="001E025C" w:rsidRDefault="00F45078" w:rsidP="001E025C">
      <w:pPr>
        <w:rPr>
          <w:sz w:val="24"/>
        </w:rPr>
      </w:pPr>
      <w:r w:rsidRPr="00F45078">
        <w:rPr>
          <w:sz w:val="24"/>
        </w:rPr>
        <w:t>http://biobike.csbc.vcu.edu/</w:t>
      </w:r>
    </w:p>
    <w:sectPr w:rsidR="00F45078" w:rsidRPr="001E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73F2"/>
    <w:multiLevelType w:val="hybridMultilevel"/>
    <w:tmpl w:val="66E84BCE"/>
    <w:lvl w:ilvl="0" w:tplc="F7CE2A48">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64D7D"/>
    <w:multiLevelType w:val="hybridMultilevel"/>
    <w:tmpl w:val="5AFAA4AE"/>
    <w:lvl w:ilvl="0" w:tplc="CBC8539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A6"/>
    <w:rsid w:val="00026FE6"/>
    <w:rsid w:val="000413B6"/>
    <w:rsid w:val="000637D0"/>
    <w:rsid w:val="00067D37"/>
    <w:rsid w:val="00074F0F"/>
    <w:rsid w:val="00090020"/>
    <w:rsid w:val="000C7817"/>
    <w:rsid w:val="001101AE"/>
    <w:rsid w:val="001228AE"/>
    <w:rsid w:val="00126817"/>
    <w:rsid w:val="00143CC9"/>
    <w:rsid w:val="0015372E"/>
    <w:rsid w:val="001843AE"/>
    <w:rsid w:val="00187C9C"/>
    <w:rsid w:val="00197179"/>
    <w:rsid w:val="001B4012"/>
    <w:rsid w:val="001B6E80"/>
    <w:rsid w:val="001E025C"/>
    <w:rsid w:val="00202BA2"/>
    <w:rsid w:val="00203914"/>
    <w:rsid w:val="002315C3"/>
    <w:rsid w:val="00235F7A"/>
    <w:rsid w:val="00243044"/>
    <w:rsid w:val="0025449B"/>
    <w:rsid w:val="00294F85"/>
    <w:rsid w:val="002F24D8"/>
    <w:rsid w:val="002F32D0"/>
    <w:rsid w:val="00335A32"/>
    <w:rsid w:val="00402B3B"/>
    <w:rsid w:val="0042005E"/>
    <w:rsid w:val="00431714"/>
    <w:rsid w:val="00452791"/>
    <w:rsid w:val="00465941"/>
    <w:rsid w:val="004971C6"/>
    <w:rsid w:val="005777C2"/>
    <w:rsid w:val="00582C64"/>
    <w:rsid w:val="005B1FE8"/>
    <w:rsid w:val="005B5874"/>
    <w:rsid w:val="006119EA"/>
    <w:rsid w:val="00666BC1"/>
    <w:rsid w:val="00696377"/>
    <w:rsid w:val="006A443A"/>
    <w:rsid w:val="006B024B"/>
    <w:rsid w:val="006D4292"/>
    <w:rsid w:val="006E1F3D"/>
    <w:rsid w:val="006E2664"/>
    <w:rsid w:val="006E6710"/>
    <w:rsid w:val="00716EB4"/>
    <w:rsid w:val="00727AA0"/>
    <w:rsid w:val="0077263A"/>
    <w:rsid w:val="007767F2"/>
    <w:rsid w:val="007A2209"/>
    <w:rsid w:val="0081730E"/>
    <w:rsid w:val="00830FCD"/>
    <w:rsid w:val="00831E03"/>
    <w:rsid w:val="008471AA"/>
    <w:rsid w:val="00861B58"/>
    <w:rsid w:val="008661D3"/>
    <w:rsid w:val="0087265E"/>
    <w:rsid w:val="00896816"/>
    <w:rsid w:val="008E7E42"/>
    <w:rsid w:val="008F20C8"/>
    <w:rsid w:val="008F4A81"/>
    <w:rsid w:val="008F7990"/>
    <w:rsid w:val="00927736"/>
    <w:rsid w:val="00983CF2"/>
    <w:rsid w:val="00986A4C"/>
    <w:rsid w:val="009C0D7A"/>
    <w:rsid w:val="009C233B"/>
    <w:rsid w:val="009C6A15"/>
    <w:rsid w:val="00A2513C"/>
    <w:rsid w:val="00A56F66"/>
    <w:rsid w:val="00AA0A55"/>
    <w:rsid w:val="00AA601F"/>
    <w:rsid w:val="00AB2ADD"/>
    <w:rsid w:val="00AE0D8C"/>
    <w:rsid w:val="00AF0071"/>
    <w:rsid w:val="00B23258"/>
    <w:rsid w:val="00B43C6A"/>
    <w:rsid w:val="00B52527"/>
    <w:rsid w:val="00B52EAB"/>
    <w:rsid w:val="00B75E53"/>
    <w:rsid w:val="00B8799C"/>
    <w:rsid w:val="00BA1256"/>
    <w:rsid w:val="00BA182A"/>
    <w:rsid w:val="00BA477A"/>
    <w:rsid w:val="00C002E0"/>
    <w:rsid w:val="00C00CFC"/>
    <w:rsid w:val="00C2093C"/>
    <w:rsid w:val="00C54506"/>
    <w:rsid w:val="00C84F43"/>
    <w:rsid w:val="00CB5992"/>
    <w:rsid w:val="00D04A4E"/>
    <w:rsid w:val="00D0613C"/>
    <w:rsid w:val="00D1446D"/>
    <w:rsid w:val="00D22ADE"/>
    <w:rsid w:val="00D343E8"/>
    <w:rsid w:val="00D665FA"/>
    <w:rsid w:val="00DB487B"/>
    <w:rsid w:val="00DD0E45"/>
    <w:rsid w:val="00E02AB2"/>
    <w:rsid w:val="00E05D01"/>
    <w:rsid w:val="00E35ACC"/>
    <w:rsid w:val="00E8560B"/>
    <w:rsid w:val="00ED1AD6"/>
    <w:rsid w:val="00F001C7"/>
    <w:rsid w:val="00F45078"/>
    <w:rsid w:val="00F45D2B"/>
    <w:rsid w:val="00F72823"/>
    <w:rsid w:val="00F922A6"/>
    <w:rsid w:val="00FE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4B"/>
    <w:pPr>
      <w:ind w:left="720"/>
      <w:contextualSpacing/>
    </w:pPr>
  </w:style>
  <w:style w:type="character" w:customStyle="1" w:styleId="apple-converted-space">
    <w:name w:val="apple-converted-space"/>
    <w:basedOn w:val="DefaultParagraphFont"/>
    <w:rsid w:val="00F45D2B"/>
  </w:style>
  <w:style w:type="character" w:styleId="Hyperlink">
    <w:name w:val="Hyperlink"/>
    <w:basedOn w:val="DefaultParagraphFont"/>
    <w:uiPriority w:val="99"/>
    <w:unhideWhenUsed/>
    <w:rsid w:val="00F45D2B"/>
    <w:rPr>
      <w:color w:val="0000FF"/>
      <w:u w:val="single"/>
    </w:rPr>
  </w:style>
  <w:style w:type="character" w:styleId="FollowedHyperlink">
    <w:name w:val="FollowedHyperlink"/>
    <w:basedOn w:val="DefaultParagraphFont"/>
    <w:uiPriority w:val="99"/>
    <w:semiHidden/>
    <w:unhideWhenUsed/>
    <w:rsid w:val="005777C2"/>
    <w:rPr>
      <w:color w:val="800080" w:themeColor="followedHyperlink"/>
      <w:u w:val="single"/>
    </w:rPr>
  </w:style>
  <w:style w:type="paragraph" w:styleId="Caption">
    <w:name w:val="caption"/>
    <w:basedOn w:val="Normal"/>
    <w:next w:val="Normal"/>
    <w:uiPriority w:val="35"/>
    <w:unhideWhenUsed/>
    <w:qFormat/>
    <w:rsid w:val="00830FCD"/>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20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914"/>
    <w:rPr>
      <w:rFonts w:ascii="Tahoma" w:hAnsi="Tahoma" w:cs="Tahoma"/>
      <w:sz w:val="16"/>
      <w:szCs w:val="16"/>
    </w:rPr>
  </w:style>
  <w:style w:type="table" w:styleId="TableGrid">
    <w:name w:val="Table Grid"/>
    <w:basedOn w:val="TableNormal"/>
    <w:uiPriority w:val="59"/>
    <w:rsid w:val="0025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4B"/>
    <w:pPr>
      <w:ind w:left="720"/>
      <w:contextualSpacing/>
    </w:pPr>
  </w:style>
  <w:style w:type="character" w:customStyle="1" w:styleId="apple-converted-space">
    <w:name w:val="apple-converted-space"/>
    <w:basedOn w:val="DefaultParagraphFont"/>
    <w:rsid w:val="00F45D2B"/>
  </w:style>
  <w:style w:type="character" w:styleId="Hyperlink">
    <w:name w:val="Hyperlink"/>
    <w:basedOn w:val="DefaultParagraphFont"/>
    <w:uiPriority w:val="99"/>
    <w:unhideWhenUsed/>
    <w:rsid w:val="00F45D2B"/>
    <w:rPr>
      <w:color w:val="0000FF"/>
      <w:u w:val="single"/>
    </w:rPr>
  </w:style>
  <w:style w:type="character" w:styleId="FollowedHyperlink">
    <w:name w:val="FollowedHyperlink"/>
    <w:basedOn w:val="DefaultParagraphFont"/>
    <w:uiPriority w:val="99"/>
    <w:semiHidden/>
    <w:unhideWhenUsed/>
    <w:rsid w:val="005777C2"/>
    <w:rPr>
      <w:color w:val="800080" w:themeColor="followedHyperlink"/>
      <w:u w:val="single"/>
    </w:rPr>
  </w:style>
  <w:style w:type="paragraph" w:styleId="Caption">
    <w:name w:val="caption"/>
    <w:basedOn w:val="Normal"/>
    <w:next w:val="Normal"/>
    <w:uiPriority w:val="35"/>
    <w:unhideWhenUsed/>
    <w:qFormat/>
    <w:rsid w:val="00830FCD"/>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20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914"/>
    <w:rPr>
      <w:rFonts w:ascii="Tahoma" w:hAnsi="Tahoma" w:cs="Tahoma"/>
      <w:sz w:val="16"/>
      <w:szCs w:val="16"/>
    </w:rPr>
  </w:style>
  <w:style w:type="table" w:styleId="TableGrid">
    <w:name w:val="Table Grid"/>
    <w:basedOn w:val="TableNormal"/>
    <w:uiPriority w:val="59"/>
    <w:rsid w:val="0025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cbi.nlm.nih.gov/pubmed/18514361" TargetMode="External"/><Relationship Id="rId18" Type="http://schemas.openxmlformats.org/officeDocument/2006/relationships/hyperlink" Target="http://www.ncbi.nlm.nih.gov/pubmed/754280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ncbi.nlm.nih.gov/pubmed/20628039" TargetMode="External"/><Relationship Id="rId2" Type="http://schemas.openxmlformats.org/officeDocument/2006/relationships/numbering" Target="numbering.xml"/><Relationship Id="rId16" Type="http://schemas.openxmlformats.org/officeDocument/2006/relationships/hyperlink" Target="http://journals.plos.org/plosgenetics/article?id=10.1371/journal.pgen.1003458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ncbi.nlm.nih.gov/pubmed/10673000" TargetMode="External"/><Relationship Id="rId10" Type="http://schemas.openxmlformats.org/officeDocument/2006/relationships/image" Target="media/image4.png"/><Relationship Id="rId19" Type="http://schemas.openxmlformats.org/officeDocument/2006/relationships/hyperlink" Target="http://www.ncbi.nlm.nih.gov/books/NBK8458/"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ncbi.nlm.nih.gov/pmc/articles/PMC2527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EF175-3481-4C12-A5E6-2AEE0868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 Elsarrag</dc:creator>
  <cp:lastModifiedBy>Zaki Elsarrag</cp:lastModifiedBy>
  <cp:revision>7</cp:revision>
  <dcterms:created xsi:type="dcterms:W3CDTF">2015-04-29T21:28:00Z</dcterms:created>
  <dcterms:modified xsi:type="dcterms:W3CDTF">2015-04-30T02:48:00Z</dcterms:modified>
</cp:coreProperties>
</file>