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D30" w:rsidRDefault="00174B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r w:rsidR="00044B72">
        <w:rPr>
          <w:rFonts w:ascii="Times New Roman" w:eastAsia="Times New Roman" w:hAnsi="Times New Roman" w:cs="Times New Roman"/>
          <w:b/>
          <w:sz w:val="24"/>
          <w:szCs w:val="24"/>
        </w:rPr>
        <w:t xml:space="preserve">ffects of </w:t>
      </w:r>
      <w:r>
        <w:rPr>
          <w:rFonts w:ascii="Times New Roman" w:eastAsia="Times New Roman" w:hAnsi="Times New Roman" w:cs="Times New Roman"/>
          <w:b/>
          <w:sz w:val="24"/>
          <w:szCs w:val="24"/>
        </w:rPr>
        <w:t xml:space="preserve">disease-causing </w:t>
      </w:r>
      <w:r w:rsidR="00044B72">
        <w:rPr>
          <w:rFonts w:ascii="Times New Roman" w:eastAsia="Times New Roman" w:hAnsi="Times New Roman" w:cs="Times New Roman"/>
          <w:b/>
          <w:sz w:val="24"/>
          <w:szCs w:val="24"/>
        </w:rPr>
        <w:t xml:space="preserve">mutations </w:t>
      </w:r>
      <w:r w:rsidR="003722CF">
        <w:rPr>
          <w:rFonts w:ascii="Times New Roman" w:eastAsia="Times New Roman" w:hAnsi="Times New Roman" w:cs="Times New Roman"/>
          <w:b/>
          <w:sz w:val="24"/>
          <w:szCs w:val="24"/>
        </w:rPr>
        <w:t>on</w:t>
      </w:r>
      <w:r>
        <w:rPr>
          <w:rFonts w:ascii="Times New Roman" w:eastAsia="Times New Roman" w:hAnsi="Times New Roman" w:cs="Times New Roman"/>
          <w:b/>
          <w:sz w:val="24"/>
          <w:szCs w:val="24"/>
        </w:rPr>
        <w:t xml:space="preserve"> human HCN4 channel functionality</w:t>
      </w:r>
    </w:p>
    <w:p w:rsidR="00BC5D30" w:rsidRDefault="00BC5D30">
      <w:pPr>
        <w:rPr>
          <w:rFonts w:ascii="Times New Roman" w:eastAsia="Times New Roman" w:hAnsi="Times New Roman" w:cs="Times New Roman"/>
          <w:b/>
          <w:sz w:val="24"/>
          <w:szCs w:val="24"/>
        </w:rPr>
      </w:pPr>
    </w:p>
    <w:p w:rsidR="00BC5D30" w:rsidRDefault="00044B7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Introduction:</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Sinus bradycardia can be defined as a heart rate that is lower than 60 beats per minute. Asymptomatic sinus bradycardia is generally harmless and most often a signal of good physical conditioning. On the other hand, symptomatic sinus bradycardia such as sick sinus syndrome can lead to fatigue, chest pain, and shortness of breath. This condition is characterized by heart arrhythmias, which are caused by a dysfunction in the sinus node of the heart. </w:t>
      </w:r>
      <w:r w:rsidR="00174B28">
        <w:rPr>
          <w:rFonts w:ascii="Times New Roman" w:eastAsia="Times New Roman" w:hAnsi="Times New Roman" w:cs="Times New Roman"/>
          <w:sz w:val="24"/>
          <w:szCs w:val="24"/>
        </w:rPr>
        <w:t>S</w:t>
      </w:r>
      <w:r>
        <w:rPr>
          <w:rFonts w:ascii="Times New Roman" w:eastAsia="Times New Roman" w:hAnsi="Times New Roman" w:cs="Times New Roman"/>
          <w:sz w:val="24"/>
          <w:szCs w:val="24"/>
        </w:rPr>
        <w:t>inus bradycardia can be inherited</w:t>
      </w:r>
      <w:r w:rsidR="00174B28">
        <w:rPr>
          <w:rFonts w:ascii="Times New Roman" w:eastAsia="Times New Roman" w:hAnsi="Times New Roman" w:cs="Times New Roman"/>
          <w:sz w:val="24"/>
          <w:szCs w:val="24"/>
        </w:rPr>
        <w:t xml:space="preserve">, suggesting an underlying genetic basis. </w:t>
      </w:r>
      <w:r>
        <w:rPr>
          <w:rFonts w:ascii="Times New Roman" w:eastAsia="Times New Roman" w:hAnsi="Times New Roman" w:cs="Times New Roman"/>
          <w:sz w:val="24"/>
          <w:szCs w:val="24"/>
        </w:rPr>
        <w:t xml:space="preserve"> (</w:t>
      </w:r>
      <w:r w:rsidR="00174B28">
        <w:rPr>
          <w:rFonts w:ascii="Times New Roman" w:eastAsia="Times New Roman" w:hAnsi="Times New Roman" w:cs="Times New Roman"/>
          <w:sz w:val="24"/>
          <w:szCs w:val="24"/>
        </w:rPr>
        <w:t>Milano</w:t>
      </w:r>
      <w:r w:rsidR="00174B28">
        <w:rPr>
          <w:rFonts w:ascii="Times New Roman" w:eastAsia="Times New Roman" w:hAnsi="Times New Roman" w:cs="Times New Roman"/>
          <w:sz w:val="24"/>
          <w:szCs w:val="24"/>
        </w:rPr>
        <w:t xml:space="preserve"> e</w:t>
      </w:r>
      <w:r w:rsidR="00971A33">
        <w:rPr>
          <w:rFonts w:ascii="Times New Roman" w:eastAsia="Times New Roman" w:hAnsi="Times New Roman" w:cs="Times New Roman"/>
          <w:sz w:val="24"/>
          <w:szCs w:val="24"/>
        </w:rPr>
        <w:t>t</w:t>
      </w:r>
      <w:r w:rsidR="00174B28">
        <w:rPr>
          <w:rFonts w:ascii="Times New Roman" w:eastAsia="Times New Roman" w:hAnsi="Times New Roman" w:cs="Times New Roman"/>
          <w:sz w:val="24"/>
          <w:szCs w:val="24"/>
        </w:rPr>
        <w:t xml:space="preserve"> al 2014</w:t>
      </w:r>
      <w:r>
        <w:rPr>
          <w:rFonts w:ascii="Times New Roman" w:eastAsia="Times New Roman" w:hAnsi="Times New Roman" w:cs="Times New Roman"/>
          <w:sz w:val="24"/>
          <w:szCs w:val="24"/>
        </w:rPr>
        <w:t>)</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Hyperpolarization-activated cyclic nucleotide-gated (HCN) ion channels are voltage gated and ligand-activated integral membrane proteins that contribute to </w:t>
      </w:r>
      <w:r w:rsidR="00174B2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pace-making activity in cardiac cells (</w:t>
      </w:r>
      <w:r w:rsidR="00174B28">
        <w:rPr>
          <w:rFonts w:ascii="Times New Roman" w:eastAsia="Times New Roman" w:hAnsi="Times New Roman" w:cs="Times New Roman"/>
          <w:sz w:val="24"/>
          <w:szCs w:val="24"/>
        </w:rPr>
        <w:t>Milano et. al 2014</w:t>
      </w:r>
      <w:r>
        <w:rPr>
          <w:rFonts w:ascii="Times New Roman" w:eastAsia="Times New Roman" w:hAnsi="Times New Roman" w:cs="Times New Roman"/>
          <w:sz w:val="24"/>
          <w:szCs w:val="24"/>
        </w:rPr>
        <w:t xml:space="preserve">). They </w:t>
      </w:r>
      <w:r w:rsidR="00174B28">
        <w:rPr>
          <w:rFonts w:ascii="Times New Roman" w:eastAsia="Times New Roman" w:hAnsi="Times New Roman" w:cs="Times New Roman"/>
          <w:sz w:val="24"/>
          <w:szCs w:val="24"/>
        </w:rPr>
        <w:t>used to be</w:t>
      </w:r>
      <w:r>
        <w:rPr>
          <w:rFonts w:ascii="Times New Roman" w:eastAsia="Times New Roman" w:hAnsi="Times New Roman" w:cs="Times New Roman"/>
          <w:sz w:val="24"/>
          <w:szCs w:val="24"/>
        </w:rPr>
        <w:t xml:space="preserve"> referred to as pacemaker cells because they generate rhythmic activity within heart cells. A unique feature of HCN channels that distinguishes them from other voltage gated channels is that the HCN channel pore opens in response to hyperpolarizing voltages instead of depolarizing voltages (</w:t>
      </w:r>
      <w:proofErr w:type="spellStart"/>
      <w:r w:rsidR="00971A33">
        <w:rPr>
          <w:rFonts w:ascii="Times New Roman" w:eastAsia="Times New Roman" w:hAnsi="Times New Roman" w:cs="Times New Roman"/>
          <w:sz w:val="24"/>
          <w:szCs w:val="24"/>
        </w:rPr>
        <w:t>Milanesi</w:t>
      </w:r>
      <w:proofErr w:type="spellEnd"/>
      <w:r w:rsidR="00971A33">
        <w:rPr>
          <w:rFonts w:ascii="Times New Roman" w:eastAsia="Times New Roman" w:hAnsi="Times New Roman" w:cs="Times New Roman"/>
          <w:sz w:val="24"/>
          <w:szCs w:val="24"/>
        </w:rPr>
        <w:t xml:space="preserve"> et al, 2006</w:t>
      </w:r>
      <w:r>
        <w:rPr>
          <w:rFonts w:ascii="Times New Roman" w:eastAsia="Times New Roman" w:hAnsi="Times New Roman" w:cs="Times New Roman"/>
          <w:sz w:val="24"/>
          <w:szCs w:val="24"/>
        </w:rPr>
        <w:t>). Hyperpolarization occurs when the membrane potential of the cell becomes more negative due to an efflux of potassium</w:t>
      </w:r>
      <w:r w:rsidR="00971A33">
        <w:rPr>
          <w:rFonts w:ascii="Times New Roman" w:eastAsia="Times New Roman" w:hAnsi="Times New Roman" w:cs="Times New Roman"/>
          <w:sz w:val="24"/>
          <w:szCs w:val="24"/>
        </w:rPr>
        <w:t xml:space="preserve">, whereas HCN channels help bring the membrane toward depolarization. </w:t>
      </w:r>
      <w:r>
        <w:rPr>
          <w:rFonts w:ascii="Times New Roman" w:eastAsia="Times New Roman" w:hAnsi="Times New Roman" w:cs="Times New Roman"/>
          <w:sz w:val="24"/>
          <w:szCs w:val="24"/>
        </w:rPr>
        <w:t>(</w:t>
      </w:r>
      <w:r w:rsidR="00971A33">
        <w:rPr>
          <w:rFonts w:ascii="Times New Roman" w:eastAsia="Times New Roman" w:hAnsi="Times New Roman" w:cs="Times New Roman"/>
          <w:sz w:val="24"/>
          <w:szCs w:val="24"/>
        </w:rPr>
        <w:t>Flynn et al, 2018). A single unit of the</w:t>
      </w:r>
      <w:r>
        <w:rPr>
          <w:rFonts w:ascii="Times New Roman" w:eastAsia="Times New Roman" w:hAnsi="Times New Roman" w:cs="Times New Roman"/>
          <w:sz w:val="24"/>
          <w:szCs w:val="24"/>
        </w:rPr>
        <w:t xml:space="preserve"> HCN4 channel is composed of 6 trans-membrane domains and a pore-forming loop</w:t>
      </w:r>
      <w:r>
        <w:rPr>
          <w:sz w:val="24"/>
          <w:szCs w:val="24"/>
        </w:rPr>
        <w:t>—</w:t>
      </w:r>
      <w:r>
        <w:rPr>
          <w:rFonts w:ascii="Times New Roman" w:eastAsia="Times New Roman" w:hAnsi="Times New Roman" w:cs="Times New Roman"/>
          <w:sz w:val="24"/>
          <w:szCs w:val="24"/>
        </w:rPr>
        <w:t>the P</w:t>
      </w:r>
      <w:r w:rsidR="00A917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domain</w:t>
      </w:r>
      <w:r>
        <w:rPr>
          <w:sz w:val="24"/>
          <w:szCs w:val="24"/>
        </w:rPr>
        <w:t>—</w:t>
      </w:r>
      <w:r>
        <w:rPr>
          <w:rFonts w:ascii="Times New Roman" w:eastAsia="Times New Roman" w:hAnsi="Times New Roman" w:cs="Times New Roman"/>
          <w:sz w:val="24"/>
          <w:szCs w:val="24"/>
        </w:rPr>
        <w:t xml:space="preserve">located between transmembrane domains S5 and S6, acting as the ion conducting pore and selectivity </w:t>
      </w:r>
      <w:r>
        <w:rPr>
          <w:sz w:val="24"/>
          <w:szCs w:val="24"/>
        </w:rPr>
        <w:t>fi</w:t>
      </w:r>
      <w:r>
        <w:rPr>
          <w:rFonts w:ascii="Times New Roman" w:eastAsia="Times New Roman" w:hAnsi="Times New Roman" w:cs="Times New Roman"/>
          <w:sz w:val="24"/>
          <w:szCs w:val="24"/>
        </w:rPr>
        <w:t xml:space="preserve">lter ( </w:t>
      </w:r>
      <w:proofErr w:type="spellStart"/>
      <w:r w:rsidR="00BF0BAA">
        <w:rPr>
          <w:rFonts w:ascii="Times New Roman" w:eastAsia="Times New Roman" w:hAnsi="Times New Roman" w:cs="Times New Roman"/>
          <w:sz w:val="24"/>
          <w:szCs w:val="24"/>
        </w:rPr>
        <w:t>Milanesi</w:t>
      </w:r>
      <w:proofErr w:type="spellEnd"/>
      <w:r w:rsidR="00BF0BAA">
        <w:rPr>
          <w:rFonts w:ascii="Times New Roman" w:eastAsia="Times New Roman" w:hAnsi="Times New Roman" w:cs="Times New Roman"/>
          <w:sz w:val="24"/>
          <w:szCs w:val="24"/>
        </w:rPr>
        <w:t xml:space="preserve"> et al. 2006</w:t>
      </w:r>
      <w:r>
        <w:rPr>
          <w:rFonts w:ascii="Times New Roman" w:eastAsia="Times New Roman" w:hAnsi="Times New Roman" w:cs="Times New Roman"/>
          <w:sz w:val="24"/>
          <w:szCs w:val="24"/>
        </w:rPr>
        <w:t>). HCN channels are regulated by the binding of cyclic nucleotides such as cAMP, cGMP, or cCMP. The binding of cyclic nucleotides lowers the threshold potential of HCN channels</w:t>
      </w:r>
      <w:r w:rsidR="00971A33">
        <w:rPr>
          <w:rFonts w:ascii="Times New Roman" w:eastAsia="Times New Roman" w:hAnsi="Times New Roman" w:cs="Times New Roman"/>
          <w:sz w:val="24"/>
          <w:szCs w:val="24"/>
        </w:rPr>
        <w:t xml:space="preserve"> required for channel activation.</w:t>
      </w:r>
      <w:r>
        <w:rPr>
          <w:rFonts w:ascii="Times New Roman" w:eastAsia="Times New Roman" w:hAnsi="Times New Roman" w:cs="Times New Roman"/>
          <w:sz w:val="24"/>
          <w:szCs w:val="24"/>
        </w:rPr>
        <w:t xml:space="preserve">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20574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943600" cy="2057400"/>
                    </a:xfrm>
                    <a:prstGeom prst="rect">
                      <a:avLst/>
                    </a:prstGeom>
                    <a:ln/>
                  </pic:spPr>
                </pic:pic>
              </a:graphicData>
            </a:graphic>
          </wp:inline>
        </w:drawing>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Structure of the HCN channel with cAMP binding site. </w:t>
      </w:r>
      <w:r>
        <w:rPr>
          <w:rFonts w:ascii="Times New Roman" w:eastAsia="Times New Roman" w:hAnsi="Times New Roman" w:cs="Times New Roman"/>
          <w:sz w:val="24"/>
          <w:szCs w:val="24"/>
        </w:rPr>
        <w:t xml:space="preserve">Adapted from Table 1 of Reference 8 </w:t>
      </w: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HCN channels are responsible for generating the pacemaker “funny” current that plays a crucial role in modulating the rhythm of the heart (</w:t>
      </w:r>
      <w:proofErr w:type="spellStart"/>
      <w:r w:rsidR="00971A33">
        <w:rPr>
          <w:rFonts w:ascii="Times New Roman" w:eastAsia="Times New Roman" w:hAnsi="Times New Roman" w:cs="Times New Roman"/>
          <w:sz w:val="24"/>
          <w:szCs w:val="24"/>
        </w:rPr>
        <w:t>Difransceco</w:t>
      </w:r>
      <w:proofErr w:type="spellEnd"/>
      <w:r w:rsidR="00971A33">
        <w:rPr>
          <w:rFonts w:ascii="Times New Roman" w:eastAsia="Times New Roman" w:hAnsi="Times New Roman" w:cs="Times New Roman"/>
          <w:sz w:val="24"/>
          <w:szCs w:val="24"/>
        </w:rPr>
        <w:t xml:space="preserve"> et al, 2007</w:t>
      </w:r>
      <w:r>
        <w:rPr>
          <w:rFonts w:ascii="Times New Roman" w:eastAsia="Times New Roman" w:hAnsi="Times New Roman" w:cs="Times New Roman"/>
          <w:sz w:val="24"/>
          <w:szCs w:val="24"/>
        </w:rPr>
        <w:t xml:space="preserve">). HCN4 channels are the main </w:t>
      </w:r>
      <w:r w:rsidRPr="00A9171C">
        <w:rPr>
          <w:rFonts w:ascii="Times" w:eastAsia="Times New Roman" w:hAnsi="Times" w:cs="Times New Roman"/>
          <w:sz w:val="24"/>
          <w:szCs w:val="24"/>
        </w:rPr>
        <w:t>isoform that are expressed within the sinoatrial node (</w:t>
      </w:r>
      <w:proofErr w:type="spellStart"/>
      <w:r w:rsidR="00971A33">
        <w:rPr>
          <w:rFonts w:ascii="Times" w:eastAsia="Times New Roman" w:hAnsi="Times" w:cs="Times New Roman"/>
          <w:sz w:val="24"/>
          <w:szCs w:val="24"/>
        </w:rPr>
        <w:t>Milanesi</w:t>
      </w:r>
      <w:proofErr w:type="spellEnd"/>
      <w:r w:rsidR="00971A33">
        <w:rPr>
          <w:rFonts w:ascii="Times" w:eastAsia="Times New Roman" w:hAnsi="Times" w:cs="Times New Roman"/>
          <w:sz w:val="24"/>
          <w:szCs w:val="24"/>
        </w:rPr>
        <w:t xml:space="preserve"> et al, 2006</w:t>
      </w:r>
      <w:r w:rsidRPr="00A9171C">
        <w:rPr>
          <w:rFonts w:ascii="Times" w:eastAsia="Times New Roman" w:hAnsi="Times" w:cs="Times New Roman"/>
          <w:sz w:val="24"/>
          <w:szCs w:val="24"/>
        </w:rPr>
        <w:t xml:space="preserve">). The funny </w:t>
      </w:r>
      <w:r w:rsidRPr="00A9171C">
        <w:rPr>
          <w:rFonts w:ascii="Times" w:eastAsia="Times New Roman" w:hAnsi="Times" w:cs="Times New Roman"/>
          <w:sz w:val="24"/>
          <w:szCs w:val="24"/>
        </w:rPr>
        <w:lastRenderedPageBreak/>
        <w:t>current is a mixed sodium–potassium</w:t>
      </w:r>
      <w:r w:rsidRPr="00A9171C">
        <w:rPr>
          <w:rFonts w:ascii="Times" w:eastAsia="Times New Roman" w:hAnsi="Times" w:cs="Times New Roman"/>
          <w:b/>
          <w:sz w:val="24"/>
          <w:szCs w:val="24"/>
        </w:rPr>
        <w:t xml:space="preserve"> </w:t>
      </w:r>
      <w:r w:rsidRPr="00A9171C">
        <w:rPr>
          <w:rFonts w:ascii="Times" w:eastAsia="Gungsuh" w:hAnsi="Times" w:cs="Gungsuh"/>
          <w:sz w:val="24"/>
          <w:szCs w:val="24"/>
        </w:rPr>
        <w:t>current that activates upon hyperpolarization at voltages in the diastolic range, normally from −60/−70 mV to −40 mV (</w:t>
      </w:r>
      <w:proofErr w:type="spellStart"/>
      <w:r w:rsidR="00971A33">
        <w:rPr>
          <w:rFonts w:ascii="Times New Roman" w:eastAsia="Times New Roman" w:hAnsi="Times New Roman" w:cs="Times New Roman"/>
          <w:sz w:val="24"/>
          <w:szCs w:val="24"/>
        </w:rPr>
        <w:t>Difransceco</w:t>
      </w:r>
      <w:proofErr w:type="spellEnd"/>
      <w:r w:rsidR="00971A33">
        <w:rPr>
          <w:rFonts w:ascii="Times New Roman" w:eastAsia="Times New Roman" w:hAnsi="Times New Roman" w:cs="Times New Roman"/>
          <w:sz w:val="24"/>
          <w:szCs w:val="24"/>
        </w:rPr>
        <w:t xml:space="preserve"> et al, 2007</w:t>
      </w:r>
      <w:r w:rsidRPr="00A9171C">
        <w:rPr>
          <w:rFonts w:ascii="Times" w:eastAsia="Gungsuh" w:hAnsi="Times" w:cs="Gungsuh"/>
          <w:sz w:val="24"/>
          <w:szCs w:val="24"/>
        </w:rPr>
        <w:t>) . When the end of the sinoatrial action potential is reached, the membrane repolarizes below the I</w:t>
      </w:r>
      <w:r w:rsidRPr="00A9171C">
        <w:rPr>
          <w:rFonts w:ascii="Times" w:eastAsia="Times New Roman" w:hAnsi="Times" w:cs="Times New Roman"/>
          <w:sz w:val="24"/>
          <w:szCs w:val="24"/>
          <w:vertAlign w:val="subscript"/>
        </w:rPr>
        <w:t>f</w:t>
      </w:r>
      <w:r w:rsidRPr="00A9171C">
        <w:rPr>
          <w:rFonts w:ascii="Times" w:eastAsia="Times New Roman" w:hAnsi="Times" w:cs="Times New Roman"/>
          <w:sz w:val="24"/>
          <w:szCs w:val="24"/>
        </w:rPr>
        <w:t xml:space="preserve"> threshold, -40 mV.</w:t>
      </w:r>
      <w:r>
        <w:rPr>
          <w:rFonts w:ascii="Times New Roman" w:eastAsia="Times New Roman" w:hAnsi="Times New Roman" w:cs="Times New Roman"/>
          <w:sz w:val="24"/>
          <w:szCs w:val="24"/>
        </w:rPr>
        <w:t xml:space="preserve"> The funny current is then activated and supplies inward current which causes diastolic depolarization. This method mechanism allows the funny current to control the activity of the sinoatrial myocytes and therefore the cardiac rate. The pacemaker current (I</w:t>
      </w:r>
      <w:r>
        <w:rPr>
          <w:rFonts w:ascii="Times New Roman" w:eastAsia="Times New Roman" w:hAnsi="Times New Roman" w:cs="Times New Roman"/>
          <w:sz w:val="24"/>
          <w:szCs w:val="24"/>
          <w:vertAlign w:val="subscript"/>
        </w:rPr>
        <w:t>f</w:t>
      </w:r>
      <w:r>
        <w:rPr>
          <w:rFonts w:ascii="Times New Roman" w:eastAsia="Times New Roman" w:hAnsi="Times New Roman" w:cs="Times New Roman"/>
          <w:sz w:val="24"/>
          <w:szCs w:val="24"/>
        </w:rPr>
        <w:t>) that is located in the sinoatrial-node myocytes determines the slope of the diastolic depolarization of pacemaker cells and therefore has a crucial role in the generation and autonomic regulation of the sinus rhythm and rate (</w:t>
      </w:r>
      <w:proofErr w:type="spellStart"/>
      <w:r w:rsidR="00971A33">
        <w:rPr>
          <w:rFonts w:ascii="Times New Roman" w:eastAsia="Times New Roman" w:hAnsi="Times New Roman" w:cs="Times New Roman"/>
          <w:sz w:val="24"/>
          <w:szCs w:val="24"/>
        </w:rPr>
        <w:t>Difransceco</w:t>
      </w:r>
      <w:proofErr w:type="spellEnd"/>
      <w:r w:rsidR="00971A33">
        <w:rPr>
          <w:rFonts w:ascii="Times New Roman" w:eastAsia="Times New Roman" w:hAnsi="Times New Roman" w:cs="Times New Roman"/>
          <w:sz w:val="24"/>
          <w:szCs w:val="24"/>
        </w:rPr>
        <w:t xml:space="preserve"> et al, 2007</w:t>
      </w:r>
      <w:r>
        <w:rPr>
          <w:rFonts w:ascii="Times New Roman" w:eastAsia="Times New Roman" w:hAnsi="Times New Roman" w:cs="Times New Roman"/>
          <w:sz w:val="24"/>
          <w:szCs w:val="24"/>
        </w:rPr>
        <w:t xml:space="preserve">). </w:t>
      </w:r>
      <w:r>
        <w:rPr>
          <w:noProof/>
        </w:rPr>
        <w:drawing>
          <wp:anchor distT="114300" distB="114300" distL="114300" distR="114300" simplePos="0" relativeHeight="251658240" behindDoc="0" locked="0" layoutInCell="1" hidden="0" allowOverlap="1">
            <wp:simplePos x="0" y="0"/>
            <wp:positionH relativeFrom="column">
              <wp:posOffset>3267075</wp:posOffset>
            </wp:positionH>
            <wp:positionV relativeFrom="paragraph">
              <wp:posOffset>2143125</wp:posOffset>
            </wp:positionV>
            <wp:extent cx="2671763" cy="2395806"/>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2671763" cy="2395806"/>
                    </a:xfrm>
                    <a:prstGeom prst="rect">
                      <a:avLst/>
                    </a:prstGeom>
                    <a:ln/>
                  </pic:spPr>
                </pic:pic>
              </a:graphicData>
            </a:graphic>
          </wp:anchor>
        </w:drawing>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Sinus bradycardia has been linked to mutations in HCN4, SCN5A, and ANK2 genes (</w:t>
      </w:r>
      <w:proofErr w:type="spellStart"/>
      <w:r w:rsidR="00971A33">
        <w:rPr>
          <w:rFonts w:ascii="Times" w:eastAsia="Times New Roman" w:hAnsi="Times" w:cs="Times New Roman"/>
          <w:sz w:val="24"/>
          <w:szCs w:val="24"/>
        </w:rPr>
        <w:t>Milanesi</w:t>
      </w:r>
      <w:proofErr w:type="spellEnd"/>
      <w:r w:rsidR="00971A33">
        <w:rPr>
          <w:rFonts w:ascii="Times" w:eastAsia="Times New Roman" w:hAnsi="Times" w:cs="Times New Roman"/>
          <w:sz w:val="24"/>
          <w:szCs w:val="24"/>
        </w:rPr>
        <w:t xml:space="preserve"> et al, 2006</w:t>
      </w:r>
      <w:r>
        <w:rPr>
          <w:rFonts w:ascii="Times New Roman" w:eastAsia="Times New Roman" w:hAnsi="Times New Roman" w:cs="Times New Roman"/>
          <w:sz w:val="24"/>
          <w:szCs w:val="24"/>
        </w:rPr>
        <w:t xml:space="preserve">). The focus of this proposal will be mutations located in the HCN4 channel. </w:t>
      </w: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depicts all known mutations that are found within the HCN4 channel. They all involve a change from one amino acid residue to another. Different amino acids have different hydrophobic and hydrophilic properties that can impact how the channel will respond to an influx or efflux of charged ions. </w:t>
      </w:r>
    </w:p>
    <w:p w:rsidR="00BC5D30" w:rsidRDefault="00E37DDB">
      <w:pPr>
        <w:ind w:firstLine="720"/>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simplePos x="0" y="0"/>
            <wp:positionH relativeFrom="column">
              <wp:posOffset>3947160</wp:posOffset>
            </wp:positionH>
            <wp:positionV relativeFrom="paragraph">
              <wp:posOffset>476250</wp:posOffset>
            </wp:positionV>
            <wp:extent cx="1993900" cy="791210"/>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993900" cy="79121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simplePos x="0" y="0"/>
            <wp:positionH relativeFrom="column">
              <wp:posOffset>3042920</wp:posOffset>
            </wp:positionH>
            <wp:positionV relativeFrom="paragraph">
              <wp:posOffset>1264090</wp:posOffset>
            </wp:positionV>
            <wp:extent cx="3124200" cy="2031463"/>
            <wp:effectExtent l="0" t="0" r="0" b="0"/>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24200" cy="2031463"/>
                    </a:xfrm>
                    <a:prstGeom prst="rect">
                      <a:avLst/>
                    </a:prstGeom>
                    <a:ln/>
                  </pic:spPr>
                </pic:pic>
              </a:graphicData>
            </a:graphic>
          </wp:anchor>
        </w:drawing>
      </w:r>
      <w:r w:rsidR="00044B72">
        <w:rPr>
          <w:rFonts w:ascii="Times New Roman" w:eastAsia="Times New Roman" w:hAnsi="Times New Roman" w:cs="Times New Roman"/>
          <w:sz w:val="24"/>
          <w:szCs w:val="24"/>
        </w:rPr>
        <w:t>Mutations within the hHCN4 gene causes mutant channels to become activated at more negative voltages when compared with wild-type channels (</w:t>
      </w:r>
      <w:proofErr w:type="spellStart"/>
      <w:r w:rsidR="00971A33">
        <w:rPr>
          <w:rFonts w:ascii="Times" w:eastAsia="Times New Roman" w:hAnsi="Times" w:cs="Times New Roman"/>
          <w:sz w:val="24"/>
          <w:szCs w:val="24"/>
        </w:rPr>
        <w:t>Milanesi</w:t>
      </w:r>
      <w:proofErr w:type="spellEnd"/>
      <w:r w:rsidR="00971A33">
        <w:rPr>
          <w:rFonts w:ascii="Times" w:eastAsia="Times New Roman" w:hAnsi="Times" w:cs="Times New Roman"/>
          <w:sz w:val="24"/>
          <w:szCs w:val="24"/>
        </w:rPr>
        <w:t xml:space="preserve"> et al, 2006</w:t>
      </w:r>
      <w:r w:rsidR="00044B72">
        <w:rPr>
          <w:rFonts w:ascii="Times New Roman" w:eastAsia="Times New Roman" w:hAnsi="Times New Roman" w:cs="Times New Roman"/>
          <w:sz w:val="24"/>
          <w:szCs w:val="24"/>
        </w:rPr>
        <w:t>). This leads to less current being supplied during diastolic depolarization, which leads to a slowing of the heart rate. Diastolic depolarization occurs during the transition from the max diastolic potential (-70 mV) to the threshold potential, -40 mV (</w:t>
      </w:r>
      <w:r w:rsidR="00BF0BAA">
        <w:rPr>
          <w:rFonts w:ascii="Times New Roman" w:eastAsia="Times New Roman" w:hAnsi="Times New Roman" w:cs="Times New Roman"/>
          <w:sz w:val="24"/>
          <w:szCs w:val="24"/>
        </w:rPr>
        <w:t>Flynn et al., 2018</w:t>
      </w:r>
      <w:r w:rsidR="00044B72">
        <w:rPr>
          <w:rFonts w:ascii="Times New Roman" w:eastAsia="Times New Roman" w:hAnsi="Times New Roman" w:cs="Times New Roman"/>
          <w:sz w:val="24"/>
          <w:szCs w:val="24"/>
        </w:rPr>
        <w:t xml:space="preserve">). The threshold potential is the critical level that the membrane potential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depolarized to initiate the action potential.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transition is called the pacemaker phase and </w:t>
      </w:r>
      <w:r w:rsidR="00E37DDB">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duration governs how fast the heart beats (</w:t>
      </w:r>
      <w:r w:rsidR="00BF0BAA">
        <w:rPr>
          <w:rFonts w:ascii="Times New Roman" w:eastAsia="Times New Roman" w:hAnsi="Times New Roman" w:cs="Times New Roman"/>
          <w:sz w:val="24"/>
          <w:szCs w:val="24"/>
        </w:rPr>
        <w:t>Flynn et al., 2018</w:t>
      </w:r>
      <w:r>
        <w:rPr>
          <w:rFonts w:ascii="Times New Roman" w:eastAsia="Times New Roman" w:hAnsi="Times New Roman" w:cs="Times New Roman"/>
          <w:sz w:val="24"/>
          <w:szCs w:val="24"/>
        </w:rPr>
        <w:t xml:space="preserve">). </w:t>
      </w:r>
    </w:p>
    <w:p w:rsidR="00BC5D30" w:rsidRDefault="00E37DDB">
      <w:pPr>
        <w:ind w:firstLine="720"/>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simplePos x="0" y="0"/>
            <wp:positionH relativeFrom="column">
              <wp:posOffset>3492744</wp:posOffset>
            </wp:positionH>
            <wp:positionV relativeFrom="paragraph">
              <wp:posOffset>279742</wp:posOffset>
            </wp:positionV>
            <wp:extent cx="2305540" cy="890588"/>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305540" cy="890588"/>
                    </a:xfrm>
                    <a:prstGeom prst="rect">
                      <a:avLst/>
                    </a:prstGeom>
                    <a:ln/>
                  </pic:spPr>
                </pic:pic>
              </a:graphicData>
            </a:graphic>
          </wp:anchor>
        </w:drawing>
      </w:r>
      <w:r w:rsidR="00044B72">
        <w:rPr>
          <w:rFonts w:ascii="Times New Roman" w:eastAsia="Times New Roman" w:hAnsi="Times New Roman" w:cs="Times New Roman"/>
          <w:sz w:val="24"/>
          <w:szCs w:val="24"/>
        </w:rPr>
        <w:t>Mutant channels respond normally to cAMP binding but are activated at negative voltage when compared with wild type channels (</w:t>
      </w:r>
      <w:proofErr w:type="spellStart"/>
      <w:r w:rsidR="00A25413">
        <w:rPr>
          <w:rFonts w:ascii="Times" w:eastAsia="Times New Roman" w:hAnsi="Times" w:cs="Times New Roman"/>
          <w:sz w:val="24"/>
          <w:szCs w:val="24"/>
        </w:rPr>
        <w:t>Milanesi</w:t>
      </w:r>
      <w:proofErr w:type="spellEnd"/>
      <w:r w:rsidR="00A25413">
        <w:rPr>
          <w:rFonts w:ascii="Times" w:eastAsia="Times New Roman" w:hAnsi="Times" w:cs="Times New Roman"/>
          <w:sz w:val="24"/>
          <w:szCs w:val="24"/>
        </w:rPr>
        <w:t xml:space="preserve"> et al, 2006</w:t>
      </w:r>
      <w:r w:rsidR="00044B72">
        <w:rPr>
          <w:rFonts w:ascii="Times New Roman" w:eastAsia="Times New Roman" w:hAnsi="Times New Roman" w:cs="Times New Roman"/>
          <w:sz w:val="24"/>
          <w:szCs w:val="24"/>
        </w:rPr>
        <w:t>). For example, mutant channels open at -60 mV while wild-type channels open at -20 mV (</w:t>
      </w:r>
      <w:r w:rsidR="00BF0BAA">
        <w:rPr>
          <w:rFonts w:ascii="Times New Roman" w:eastAsia="Times New Roman" w:hAnsi="Times New Roman" w:cs="Times New Roman"/>
          <w:sz w:val="24"/>
          <w:szCs w:val="24"/>
        </w:rPr>
        <w:t>Milano et al. 2014</w:t>
      </w:r>
      <w:r w:rsidR="00044B72">
        <w:rPr>
          <w:rFonts w:ascii="Times New Roman" w:eastAsia="Times New Roman" w:hAnsi="Times New Roman" w:cs="Times New Roman"/>
          <w:sz w:val="24"/>
          <w:szCs w:val="24"/>
        </w:rPr>
        <w:t xml:space="preserve">). This can be seen in </w:t>
      </w:r>
      <w:r w:rsidR="00044B72">
        <w:rPr>
          <w:rFonts w:ascii="Times New Roman" w:eastAsia="Times New Roman" w:hAnsi="Times New Roman" w:cs="Times New Roman"/>
          <w:b/>
          <w:sz w:val="24"/>
          <w:szCs w:val="24"/>
        </w:rPr>
        <w:t xml:space="preserve">Figure 4. </w:t>
      </w:r>
      <w:r w:rsidR="00044B72">
        <w:rPr>
          <w:rFonts w:ascii="Times New Roman" w:eastAsia="Times New Roman" w:hAnsi="Times New Roman" w:cs="Times New Roman"/>
          <w:sz w:val="24"/>
          <w:szCs w:val="24"/>
        </w:rPr>
        <w:lastRenderedPageBreak/>
        <w:t xml:space="preserve">The wild-type channels are more easily opened and are open longer than the mutated channel. </w:t>
      </w:r>
      <w:r w:rsidR="00044B72">
        <w:rPr>
          <w:rFonts w:ascii="Times New Roman" w:eastAsia="Times New Roman" w:hAnsi="Times New Roman" w:cs="Times New Roman"/>
          <w:sz w:val="24"/>
          <w:szCs w:val="24"/>
        </w:rPr>
        <w:tab/>
      </w:r>
      <w:r w:rsidR="00044B72">
        <w:rPr>
          <w:rFonts w:ascii="Times New Roman" w:eastAsia="Times New Roman" w:hAnsi="Times New Roman" w:cs="Times New Roman"/>
          <w:sz w:val="24"/>
          <w:szCs w:val="24"/>
        </w:rPr>
        <w:tab/>
      </w:r>
      <w:r w:rsidR="00044B72">
        <w:rPr>
          <w:rFonts w:ascii="Times New Roman" w:eastAsia="Times New Roman" w:hAnsi="Times New Roman" w:cs="Times New Roman"/>
          <w:sz w:val="24"/>
          <w:szCs w:val="24"/>
        </w:rPr>
        <w:tab/>
      </w:r>
    </w:p>
    <w:p w:rsidR="00BC5D30" w:rsidRDefault="00044B72">
      <w:pPr>
        <w:ind w:left="6480"/>
        <w:rPr>
          <w:rFonts w:ascii="Times New Roman" w:eastAsia="Times New Roman" w:hAnsi="Times New Roman" w:cs="Times New Roman"/>
        </w:rPr>
      </w:pPr>
      <w:r>
        <w:rPr>
          <w:rFonts w:ascii="Times New Roman" w:eastAsia="Times New Roman" w:hAnsi="Times New Roman" w:cs="Times New Roman"/>
          <w:b/>
        </w:rPr>
        <w:t xml:space="preserve">Figure 4 : Comparison of membrane potential in mV of wild-type and mutated channels: </w:t>
      </w:r>
      <w:r>
        <w:rPr>
          <w:rFonts w:ascii="Times New Roman" w:eastAsia="Times New Roman" w:hAnsi="Times New Roman" w:cs="Times New Roman"/>
        </w:rPr>
        <w:t>Adapted from Figure 7 of Reference 10</w:t>
      </w:r>
      <w:r>
        <w:rPr>
          <w:noProof/>
        </w:rPr>
        <w:drawing>
          <wp:anchor distT="114300" distB="114300" distL="114300" distR="114300" simplePos="0" relativeHeight="251662336" behindDoc="0" locked="0" layoutInCell="1" hidden="0" allowOverlap="1">
            <wp:simplePos x="0" y="0"/>
            <wp:positionH relativeFrom="column">
              <wp:posOffset>514350</wp:posOffset>
            </wp:positionH>
            <wp:positionV relativeFrom="paragraph">
              <wp:posOffset>114300</wp:posOffset>
            </wp:positionV>
            <wp:extent cx="3697397" cy="2890838"/>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97397" cy="2890838"/>
                    </a:xfrm>
                    <a:prstGeom prst="rect">
                      <a:avLst/>
                    </a:prstGeom>
                    <a:ln/>
                  </pic:spPr>
                </pic:pic>
              </a:graphicData>
            </a:graphic>
          </wp:anchor>
        </w:drawing>
      </w:r>
    </w:p>
    <w:p w:rsidR="00BC5D30" w:rsidRDefault="00BC5D30">
      <w:pPr>
        <w:ind w:firstLine="720"/>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BC5D30" w:rsidRDefault="00BC5D30">
      <w:pPr>
        <w:ind w:firstLine="720"/>
        <w:rPr>
          <w:rFonts w:ascii="Times New Roman" w:eastAsia="Times New Roman" w:hAnsi="Times New Roman" w:cs="Times New Roman"/>
          <w:b/>
        </w:rPr>
      </w:pPr>
    </w:p>
    <w:p w:rsidR="00BC5D30" w:rsidRDefault="00BC5D30">
      <w:pPr>
        <w:ind w:left="4320" w:firstLine="720"/>
        <w:jc w:val="right"/>
        <w:rPr>
          <w:rFonts w:ascii="Times New Roman" w:eastAsia="Times New Roman" w:hAnsi="Times New Roman" w:cs="Times New Roman"/>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C5D30" w:rsidRDefault="00044B72">
      <w:pPr>
        <w:rPr>
          <w:rFonts w:ascii="Times New Roman" w:eastAsia="Times New Roman" w:hAnsi="Times New Roman" w:cs="Times New Roman"/>
          <w:sz w:val="24"/>
          <w:szCs w:val="24"/>
        </w:rPr>
      </w:pPr>
      <w:r>
        <w:rPr>
          <w:noProof/>
        </w:rPr>
        <w:drawing>
          <wp:anchor distT="114300" distB="114300" distL="114300" distR="114300" simplePos="0" relativeHeight="251663360" behindDoc="0" locked="0" layoutInCell="1" hidden="0" allowOverlap="1">
            <wp:simplePos x="0" y="0"/>
            <wp:positionH relativeFrom="column">
              <wp:posOffset>3651104</wp:posOffset>
            </wp:positionH>
            <wp:positionV relativeFrom="paragraph">
              <wp:posOffset>209550</wp:posOffset>
            </wp:positionV>
            <wp:extent cx="2454421" cy="2462213"/>
            <wp:effectExtent l="0" t="0" r="0" b="0"/>
            <wp:wrapSquare wrapText="bothSides" distT="114300" distB="114300" distL="114300" distR="11430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454421" cy="2462213"/>
                    </a:xfrm>
                    <a:prstGeom prst="rect">
                      <a:avLst/>
                    </a:prstGeom>
                    <a:ln/>
                  </pic:spPr>
                </pic:pic>
              </a:graphicData>
            </a:graphic>
          </wp:anchor>
        </w:drawing>
      </w: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Mutations within the S5-S6 </w:t>
      </w:r>
      <w:r w:rsidR="00901CC4">
        <w:rPr>
          <w:rFonts w:ascii="Times New Roman" w:eastAsia="Times New Roman" w:hAnsi="Times New Roman" w:cs="Times New Roman"/>
          <w:sz w:val="24"/>
          <w:szCs w:val="24"/>
        </w:rPr>
        <w:t>pore domain</w:t>
      </w:r>
      <w:r>
        <w:rPr>
          <w:rFonts w:ascii="Times New Roman" w:eastAsia="Times New Roman" w:hAnsi="Times New Roman" w:cs="Times New Roman"/>
          <w:sz w:val="24"/>
          <w:szCs w:val="24"/>
        </w:rPr>
        <w:t xml:space="preserve"> region have been linked to bradycardia (</w:t>
      </w:r>
      <w:r w:rsidR="00BF0BAA">
        <w:rPr>
          <w:rFonts w:ascii="Times New Roman" w:eastAsia="Times New Roman" w:hAnsi="Times New Roman" w:cs="Times New Roman"/>
          <w:sz w:val="24"/>
          <w:szCs w:val="24"/>
        </w:rPr>
        <w:t>Milano et al. 2014</w:t>
      </w:r>
      <w:r>
        <w:rPr>
          <w:rFonts w:ascii="Times New Roman" w:eastAsia="Times New Roman" w:hAnsi="Times New Roman" w:cs="Times New Roman"/>
          <w:sz w:val="24"/>
          <w:szCs w:val="24"/>
        </w:rPr>
        <w:t xml:space="preserve">).  The S5-S6 linkage region acts as the pore forming loop of the HCN4 </w:t>
      </w:r>
      <w:r w:rsidR="00E37DDB">
        <w:rPr>
          <w:rFonts w:ascii="Times New Roman" w:eastAsia="Times New Roman" w:hAnsi="Times New Roman" w:cs="Times New Roman"/>
          <w:sz w:val="24"/>
          <w:szCs w:val="24"/>
        </w:rPr>
        <w:t>channel. The</w:t>
      </w:r>
      <w:r>
        <w:rPr>
          <w:rFonts w:ascii="Times New Roman" w:eastAsia="Times New Roman" w:hAnsi="Times New Roman" w:cs="Times New Roman"/>
          <w:sz w:val="24"/>
          <w:szCs w:val="24"/>
        </w:rPr>
        <w:t xml:space="preserve"> S5-S6 region acts as the ion conducting pore and a selectivity filter (</w:t>
      </w:r>
      <w:r w:rsidR="00BF0BAA">
        <w:rPr>
          <w:rFonts w:ascii="Times New Roman" w:eastAsia="Times New Roman" w:hAnsi="Times New Roman" w:cs="Times New Roman"/>
          <w:sz w:val="24"/>
          <w:szCs w:val="24"/>
        </w:rPr>
        <w:t>Milano et al. 2014</w:t>
      </w:r>
      <w:r>
        <w:rPr>
          <w:rFonts w:ascii="Times New Roman" w:eastAsia="Times New Roman" w:hAnsi="Times New Roman" w:cs="Times New Roman"/>
          <w:sz w:val="24"/>
          <w:szCs w:val="24"/>
        </w:rPr>
        <w:t>). Mutations in this region will directly impact the selectivity of the channel since the pore itself is being affected. There have been two mutations that have been identified in this region, Tyr481His and Gly482Arg (</w:t>
      </w:r>
      <w:r w:rsidR="00BF0BAA">
        <w:rPr>
          <w:rFonts w:ascii="Times New Roman" w:eastAsia="Times New Roman" w:hAnsi="Times New Roman" w:cs="Times New Roman"/>
          <w:sz w:val="24"/>
          <w:szCs w:val="24"/>
        </w:rPr>
        <w:t>Milano et al. 2014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Figure 5 </w:t>
      </w:r>
      <w:r>
        <w:rPr>
          <w:rFonts w:ascii="Times New Roman" w:eastAsia="Times New Roman" w:hAnsi="Times New Roman" w:cs="Times New Roman"/>
          <w:sz w:val="24"/>
          <w:szCs w:val="24"/>
        </w:rPr>
        <w:t xml:space="preserve">shows the mutations and the CIGYG region where these mutations occur. This region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highly conserved, which means that it has remained relatively unchanged far up the phylogenetic tree. These two mutations involve the mutation of an uncharged amino acid to charged amino acid. This changes the properties </w:t>
      </w:r>
      <w:r>
        <w:rPr>
          <w:noProof/>
        </w:rPr>
        <w:drawing>
          <wp:anchor distT="114300" distB="114300" distL="114300" distR="114300" simplePos="0" relativeHeight="251664384" behindDoc="0" locked="0" layoutInCell="1" hidden="0" allowOverlap="1">
            <wp:simplePos x="0" y="0"/>
            <wp:positionH relativeFrom="column">
              <wp:posOffset>4124325</wp:posOffset>
            </wp:positionH>
            <wp:positionV relativeFrom="paragraph">
              <wp:posOffset>114300</wp:posOffset>
            </wp:positionV>
            <wp:extent cx="1920027" cy="719138"/>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20027" cy="719138"/>
                    </a:xfrm>
                    <a:prstGeom prst="rect">
                      <a:avLst/>
                    </a:prstGeom>
                    <a:ln/>
                  </pic:spPr>
                </pic:pic>
              </a:graphicData>
            </a:graphic>
          </wp:anchor>
        </w:drawing>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amino acids from hydrophobic to hydrophilic.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both of the identified mutations, Tyr481His and Gly482Arg, uncharged, hydrophobic amino acids are mutated to a charged amino acid. Armstrong et al (2016) speculated that arginine side chains provide a potent barrier to the passage of ions within voltage gated channels. They tested this by causing mutations in a human skeletal muscle sodium channel cDNA clone through site-directed mutagenesis within human embryonic kidney cells. They engineered different mutations within the channel converting hydrophobic amino acids to charged arginine </w:t>
      </w:r>
      <w:r>
        <w:rPr>
          <w:rFonts w:ascii="Times New Roman" w:eastAsia="Times New Roman" w:hAnsi="Times New Roman" w:cs="Times New Roman"/>
          <w:sz w:val="24"/>
          <w:szCs w:val="24"/>
        </w:rPr>
        <w:lastRenderedPageBreak/>
        <w:t xml:space="preserve">or lysine amino acids. They then measured peak levels of Na+ depolarization through patch clamp recordings. They found that in voltage-mediated transitions the positive side chains provide a barrier to the passage of ions. Bendahhou at el (2007) goes in depth in the opposite direction by focusing on how mutations from charged to uncharged amino acids can affect how voltage-gated sodium channels. They found that mutations from hydrophobic to charged amino acids can cause comparable or even larger shifts in activation and inactivation curves when compared to charged substitutions. A balance between hydrophobic and charged amino acid interactions are crucial for the overall function of the gate. </w:t>
      </w:r>
      <w:r>
        <w:rPr>
          <w:rFonts w:ascii="Times New Roman" w:eastAsia="Times New Roman" w:hAnsi="Times New Roman" w:cs="Times New Roman"/>
          <w:b/>
          <w:sz w:val="24"/>
          <w:szCs w:val="24"/>
        </w:rPr>
        <w:t xml:space="preserve">Figure 6 </w:t>
      </w:r>
      <w:r>
        <w:rPr>
          <w:rFonts w:ascii="Times New Roman" w:eastAsia="Times New Roman" w:hAnsi="Times New Roman" w:cs="Times New Roman"/>
          <w:sz w:val="24"/>
          <w:szCs w:val="24"/>
        </w:rPr>
        <w:t xml:space="preserve">diagrams how a charged amino acid mutation present in the CIGYG region may interfere with the movement of charged ions attempting to pass through the channel by charge repulsion. The original wild-type channel </w:t>
      </w:r>
      <w:r w:rsidR="00A9171C">
        <w:rPr>
          <w:noProof/>
        </w:rPr>
        <w:drawing>
          <wp:anchor distT="114300" distB="114300" distL="114300" distR="114300" simplePos="0" relativeHeight="251666432" behindDoc="0" locked="0" layoutInCell="1" hidden="0" allowOverlap="1">
            <wp:simplePos x="0" y="0"/>
            <wp:positionH relativeFrom="column">
              <wp:posOffset>3124200</wp:posOffset>
            </wp:positionH>
            <wp:positionV relativeFrom="paragraph">
              <wp:posOffset>1936457</wp:posOffset>
            </wp:positionV>
            <wp:extent cx="3151188" cy="2309813"/>
            <wp:effectExtent l="0" t="0" r="0" b="0"/>
            <wp:wrapSquare wrapText="bothSides" distT="114300" distB="114300" distL="114300" distR="1143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151188" cy="2309813"/>
                    </a:xfrm>
                    <a:prstGeom prst="rect">
                      <a:avLst/>
                    </a:prstGeom>
                    <a:ln/>
                  </pic:spPr>
                </pic:pic>
              </a:graphicData>
            </a:graphic>
          </wp:anchor>
        </w:drawing>
      </w:r>
      <w:r>
        <w:rPr>
          <w:rFonts w:ascii="Times New Roman" w:eastAsia="Times New Roman" w:hAnsi="Times New Roman" w:cs="Times New Roman"/>
          <w:sz w:val="24"/>
          <w:szCs w:val="24"/>
        </w:rPr>
        <w:t xml:space="preserve">does not contain a charged amino acid and this may be the reason why ions are able to pass through easier. </w:t>
      </w:r>
    </w:p>
    <w:p w:rsidR="00BC5D30" w:rsidRDefault="00A9171C">
      <w:pPr>
        <w:rPr>
          <w:rFonts w:ascii="Times New Roman" w:eastAsia="Times New Roman" w:hAnsi="Times New Roman" w:cs="Times New Roman"/>
          <w:sz w:val="24"/>
          <w:szCs w:val="24"/>
        </w:rPr>
      </w:pPr>
      <w:r>
        <w:rPr>
          <w:noProof/>
        </w:rPr>
        <w:drawing>
          <wp:anchor distT="114300" distB="114300" distL="114300" distR="114300" simplePos="0" relativeHeight="251665408" behindDoc="0" locked="0" layoutInCell="1" hidden="0" allowOverlap="1">
            <wp:simplePos x="0" y="0"/>
            <wp:positionH relativeFrom="column">
              <wp:posOffset>4242532</wp:posOffset>
            </wp:positionH>
            <wp:positionV relativeFrom="paragraph">
              <wp:posOffset>1827188</wp:posOffset>
            </wp:positionV>
            <wp:extent cx="2033588" cy="1156506"/>
            <wp:effectExtent l="0" t="0" r="0" b="0"/>
            <wp:wrapSquare wrapText="bothSides" distT="114300" distB="114300" distL="114300" distR="11430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033588" cy="1156506"/>
                    </a:xfrm>
                    <a:prstGeom prst="rect">
                      <a:avLst/>
                    </a:prstGeom>
                    <a:ln/>
                  </pic:spPr>
                </pic:pic>
              </a:graphicData>
            </a:graphic>
          </wp:anchor>
        </w:drawing>
      </w:r>
      <w:r w:rsidR="00044B72">
        <w:rPr>
          <w:rFonts w:ascii="Times New Roman" w:eastAsia="Times New Roman" w:hAnsi="Times New Roman" w:cs="Times New Roman"/>
          <w:sz w:val="24"/>
          <w:szCs w:val="24"/>
        </w:rPr>
        <w:tab/>
        <w:t>Mutations in this pore region have been limited to mutations that have gone from uncharged to positively charged and the results have shown that the function of the channel has decreased causing bradycardia. There have been no cy</w:t>
      </w:r>
      <w:r w:rsidR="00DC68A2">
        <w:rPr>
          <w:rFonts w:ascii="Times New Roman" w:eastAsia="Times New Roman" w:hAnsi="Times New Roman" w:cs="Times New Roman"/>
          <w:sz w:val="24"/>
          <w:szCs w:val="24"/>
        </w:rPr>
        <w:t>steine</w:t>
      </w:r>
      <w:r w:rsidR="00044B72">
        <w:rPr>
          <w:rFonts w:ascii="Times New Roman" w:eastAsia="Times New Roman" w:hAnsi="Times New Roman" w:cs="Times New Roman"/>
          <w:sz w:val="24"/>
          <w:szCs w:val="24"/>
        </w:rPr>
        <w:t xml:space="preserve"> mutations discovered within the region. Cy</w:t>
      </w:r>
      <w:r w:rsidR="00A25413">
        <w:rPr>
          <w:rFonts w:ascii="Times New Roman" w:eastAsia="Times New Roman" w:hAnsi="Times New Roman" w:cs="Times New Roman"/>
          <w:sz w:val="24"/>
          <w:szCs w:val="24"/>
        </w:rPr>
        <w:t>steine</w:t>
      </w:r>
      <w:r w:rsidR="00044B72">
        <w:rPr>
          <w:rFonts w:ascii="Times New Roman" w:eastAsia="Times New Roman" w:hAnsi="Times New Roman" w:cs="Times New Roman"/>
          <w:sz w:val="24"/>
          <w:szCs w:val="24"/>
        </w:rPr>
        <w:t xml:space="preserve"> is a </w:t>
      </w:r>
      <w:r w:rsidR="00A25413">
        <w:rPr>
          <w:rFonts w:ascii="Times New Roman" w:eastAsia="Times New Roman" w:hAnsi="Times New Roman" w:cs="Times New Roman"/>
          <w:sz w:val="24"/>
          <w:szCs w:val="24"/>
        </w:rPr>
        <w:t xml:space="preserve">polar </w:t>
      </w:r>
      <w:r w:rsidR="00044B72">
        <w:rPr>
          <w:rFonts w:ascii="Times New Roman" w:eastAsia="Times New Roman" w:hAnsi="Times New Roman" w:cs="Times New Roman"/>
          <w:sz w:val="24"/>
          <w:szCs w:val="24"/>
        </w:rPr>
        <w:t>amino acid. The purpose of this proposal is to explore whether mutating the cy</w:t>
      </w:r>
      <w:r w:rsidR="00901CC4">
        <w:rPr>
          <w:rFonts w:ascii="Times New Roman" w:eastAsia="Times New Roman" w:hAnsi="Times New Roman" w:cs="Times New Roman"/>
          <w:sz w:val="24"/>
          <w:szCs w:val="24"/>
        </w:rPr>
        <w:t>steine</w:t>
      </w:r>
      <w:r w:rsidR="00044B72">
        <w:rPr>
          <w:rFonts w:ascii="Times New Roman" w:eastAsia="Times New Roman" w:hAnsi="Times New Roman" w:cs="Times New Roman"/>
          <w:sz w:val="24"/>
          <w:szCs w:val="24"/>
        </w:rPr>
        <w:t>, present within the S5-S6 pore forming region, to an arginine will also cause a dysfunctional HCN4 channel.</w:t>
      </w: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Experiment:</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overall goal of the experiment will be to compare  mutated human HCN4 channels with wild-type human HCN4 channels. c</w:t>
      </w:r>
      <w:r w:rsidR="00A25413">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NA, one with the mutation and one without, will be created within E. Coli and injected within the nuclei of the frog oocytes. The oocyte that is expressing wild-type HCN4 channels will be the control </w:t>
      </w:r>
      <w:r w:rsidR="00E37DDB">
        <w:rPr>
          <w:rFonts w:ascii="Times New Roman" w:eastAsia="Times New Roman" w:hAnsi="Times New Roman" w:cs="Times New Roman"/>
          <w:sz w:val="24"/>
          <w:szCs w:val="24"/>
        </w:rPr>
        <w:t>group. The</w:t>
      </w:r>
      <w:r>
        <w:rPr>
          <w:rFonts w:ascii="Times New Roman" w:eastAsia="Times New Roman" w:hAnsi="Times New Roman" w:cs="Times New Roman"/>
          <w:sz w:val="24"/>
          <w:szCs w:val="24"/>
        </w:rPr>
        <w:t xml:space="preserve"> frog oocytes will then be allowed to go through the processes of translation to create functioning HCN4 channels and be measured through</w:t>
      </w:r>
      <w:r w:rsidR="00A25413">
        <w:rPr>
          <w:rFonts w:ascii="Times New Roman" w:eastAsia="Times New Roman" w:hAnsi="Times New Roman" w:cs="Times New Roman"/>
          <w:sz w:val="24"/>
          <w:szCs w:val="24"/>
        </w:rPr>
        <w:t xml:space="preserve"> two-electrode voltage-clamp</w:t>
      </w:r>
      <w:r>
        <w:rPr>
          <w:rFonts w:ascii="Times New Roman" w:eastAsia="Times New Roman" w:hAnsi="Times New Roman" w:cs="Times New Roman"/>
          <w:sz w:val="24"/>
          <w:szCs w:val="24"/>
        </w:rPr>
        <w:t xml:space="preserve"> </w:t>
      </w:r>
      <w:r w:rsidR="00A25413">
        <w:rPr>
          <w:rFonts w:ascii="Times New Roman" w:eastAsia="Times New Roman" w:hAnsi="Times New Roman" w:cs="Times New Roman"/>
          <w:sz w:val="24"/>
          <w:szCs w:val="24"/>
        </w:rPr>
        <w:t>(T</w:t>
      </w:r>
      <w:r>
        <w:rPr>
          <w:rFonts w:ascii="Times New Roman" w:eastAsia="Times New Roman" w:hAnsi="Times New Roman" w:cs="Times New Roman"/>
          <w:sz w:val="24"/>
          <w:szCs w:val="24"/>
        </w:rPr>
        <w:t>EVC</w:t>
      </w:r>
      <w:r w:rsidR="00A254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C5D30" w:rsidRDefault="00BC5D30">
      <w:pPr>
        <w:rPr>
          <w:rFonts w:ascii="Times New Roman" w:eastAsia="Times New Roman" w:hAnsi="Times New Roman" w:cs="Times New Roman"/>
          <w:sz w:val="24"/>
          <w:szCs w:val="24"/>
        </w:rPr>
      </w:pPr>
    </w:p>
    <w:p w:rsidR="00BC5D30" w:rsidRDefault="00DC68A2">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044B72">
        <w:rPr>
          <w:rFonts w:ascii="Times New Roman" w:eastAsia="Times New Roman" w:hAnsi="Times New Roman" w:cs="Times New Roman"/>
          <w:sz w:val="24"/>
          <w:szCs w:val="24"/>
        </w:rPr>
        <w:t xml:space="preserve"> </w:t>
      </w:r>
      <w:r w:rsidR="00044B72">
        <w:rPr>
          <w:rFonts w:ascii="Times New Roman" w:eastAsia="Times New Roman" w:hAnsi="Times New Roman" w:cs="Times New Roman"/>
          <w:sz w:val="24"/>
          <w:szCs w:val="24"/>
          <w:u w:val="single"/>
        </w:rPr>
        <w:t xml:space="preserve">Why </w:t>
      </w:r>
      <w:r w:rsidR="00044B72">
        <w:rPr>
          <w:rFonts w:ascii="Times New Roman" w:eastAsia="Times New Roman" w:hAnsi="Times New Roman" w:cs="Times New Roman"/>
          <w:i/>
          <w:sz w:val="24"/>
          <w:szCs w:val="24"/>
          <w:u w:val="single"/>
        </w:rPr>
        <w:t>Xenopus</w:t>
      </w:r>
      <w:r w:rsidR="00044B72">
        <w:rPr>
          <w:rFonts w:ascii="Times New Roman" w:eastAsia="Times New Roman" w:hAnsi="Times New Roman" w:cs="Times New Roman"/>
          <w:sz w:val="24"/>
          <w:szCs w:val="24"/>
          <w:u w:val="single"/>
        </w:rPr>
        <w:t xml:space="preserve"> oocytes</w:t>
      </w:r>
      <w:r w:rsidR="00044B72">
        <w:rPr>
          <w:rFonts w:ascii="Times New Roman" w:eastAsia="Times New Roman" w:hAnsi="Times New Roman" w:cs="Times New Roman"/>
          <w:sz w:val="24"/>
          <w:szCs w:val="24"/>
        </w:rPr>
        <w:t xml:space="preserve">: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Xenopus </w:t>
      </w:r>
      <w:r>
        <w:rPr>
          <w:rFonts w:ascii="Times New Roman" w:eastAsia="Times New Roman" w:hAnsi="Times New Roman" w:cs="Times New Roman"/>
          <w:sz w:val="24"/>
          <w:szCs w:val="24"/>
        </w:rPr>
        <w:t xml:space="preserve">oocytes have been used extensively </w:t>
      </w:r>
      <w:r w:rsidR="00A25413">
        <w:rPr>
          <w:rFonts w:ascii="Times New Roman" w:eastAsia="Times New Roman" w:hAnsi="Times New Roman" w:cs="Times New Roman"/>
          <w:sz w:val="24"/>
          <w:szCs w:val="24"/>
        </w:rPr>
        <w:t xml:space="preserve">as a heterologous expression system </w:t>
      </w:r>
      <w:r>
        <w:rPr>
          <w:rFonts w:ascii="Times New Roman" w:eastAsia="Times New Roman" w:hAnsi="Times New Roman" w:cs="Times New Roman"/>
          <w:sz w:val="24"/>
          <w:szCs w:val="24"/>
        </w:rPr>
        <w:t xml:space="preserve">to study ion channels </w:t>
      </w:r>
      <w:r>
        <w:rPr>
          <w:rFonts w:ascii="Times New Roman" w:eastAsia="Times New Roman" w:hAnsi="Times New Roman" w:cs="Times New Roman"/>
          <w:i/>
          <w:sz w:val="24"/>
          <w:szCs w:val="24"/>
        </w:rPr>
        <w:t>in v</w:t>
      </w:r>
      <w:r w:rsidR="00901CC4">
        <w:rPr>
          <w:rFonts w:ascii="Times New Roman" w:eastAsia="Times New Roman" w:hAnsi="Times New Roman" w:cs="Times New Roman"/>
          <w:i/>
          <w:sz w:val="24"/>
          <w:szCs w:val="24"/>
        </w:rPr>
        <w:t>iv</w:t>
      </w:r>
      <w:r w:rsidR="00A25413">
        <w:rPr>
          <w:rFonts w:ascii="Times New Roman" w:eastAsia="Times New Roman" w:hAnsi="Times New Roman" w:cs="Times New Roman"/>
          <w:i/>
          <w:sz w:val="24"/>
          <w:szCs w:val="24"/>
        </w:rPr>
        <w:t>o</w:t>
      </w:r>
      <w:r>
        <w:rPr>
          <w:rFonts w:ascii="Times New Roman" w:eastAsia="Times New Roman" w:hAnsi="Times New Roman" w:cs="Times New Roman"/>
          <w:sz w:val="24"/>
          <w:szCs w:val="24"/>
        </w:rPr>
        <w:t xml:space="preserve">. A primary advantage of </w:t>
      </w:r>
      <w:r>
        <w:rPr>
          <w:rFonts w:ascii="Times New Roman" w:eastAsia="Times New Roman" w:hAnsi="Times New Roman" w:cs="Times New Roman"/>
          <w:i/>
          <w:sz w:val="24"/>
          <w:szCs w:val="24"/>
        </w:rPr>
        <w:t xml:space="preserve">Xenopus </w:t>
      </w:r>
      <w:r>
        <w:rPr>
          <w:rFonts w:ascii="Times New Roman" w:eastAsia="Times New Roman" w:hAnsi="Times New Roman" w:cs="Times New Roman"/>
          <w:sz w:val="24"/>
          <w:szCs w:val="24"/>
        </w:rPr>
        <w:t>oocytes is their cells do not express large numbers of ion channels and receptors, so exogenous proteins can be studied with</w:t>
      </w:r>
      <w:r w:rsidR="00A25413">
        <w:rPr>
          <w:rFonts w:ascii="Times New Roman" w:eastAsia="Times New Roman" w:hAnsi="Times New Roman" w:cs="Times New Roman"/>
          <w:sz w:val="24"/>
          <w:szCs w:val="24"/>
        </w:rPr>
        <w:t xml:space="preserve"> </w:t>
      </w:r>
      <w:r w:rsidR="00A25413">
        <w:rPr>
          <w:rFonts w:ascii="Times New Roman" w:eastAsia="Times New Roman" w:hAnsi="Times New Roman" w:cs="Times New Roman"/>
          <w:sz w:val="24"/>
          <w:szCs w:val="24"/>
        </w:rPr>
        <w:lastRenderedPageBreak/>
        <w:t>minimum</w:t>
      </w:r>
      <w:r>
        <w:rPr>
          <w:rFonts w:ascii="Times New Roman" w:eastAsia="Times New Roman" w:hAnsi="Times New Roman" w:cs="Times New Roman"/>
          <w:sz w:val="24"/>
          <w:szCs w:val="24"/>
        </w:rPr>
        <w:t xml:space="preserve"> endogenous interference (</w:t>
      </w:r>
      <w:r w:rsidR="00BF0BAA">
        <w:rPr>
          <w:rFonts w:ascii="Times New Roman" w:eastAsia="Times New Roman" w:hAnsi="Times New Roman" w:cs="Times New Roman"/>
          <w:sz w:val="24"/>
          <w:szCs w:val="24"/>
        </w:rPr>
        <w:t xml:space="preserve">Goldin and Alan, 2006). </w:t>
      </w:r>
      <w:r>
        <w:rPr>
          <w:rFonts w:ascii="Times New Roman" w:eastAsia="Times New Roman" w:hAnsi="Times New Roman" w:cs="Times New Roman"/>
          <w:sz w:val="24"/>
          <w:szCs w:val="24"/>
        </w:rPr>
        <w:t>There are also advantages in the use of oocytes with respect to electrophysiology. The oocyte system is very well suited for the study of different mutations since injection and two-electrode voltage-clamping can be performed rapidly (</w:t>
      </w:r>
      <w:r w:rsidR="00BF0BAA">
        <w:rPr>
          <w:rFonts w:ascii="Times New Roman" w:eastAsia="Times New Roman" w:hAnsi="Times New Roman" w:cs="Times New Roman"/>
          <w:sz w:val="24"/>
          <w:szCs w:val="24"/>
        </w:rPr>
        <w:t>Goldin and Alan, 2006</w:t>
      </w:r>
      <w:r>
        <w:rPr>
          <w:rFonts w:ascii="Times New Roman" w:eastAsia="Times New Roman" w:hAnsi="Times New Roman" w:cs="Times New Roman"/>
          <w:sz w:val="24"/>
          <w:szCs w:val="24"/>
        </w:rPr>
        <w:t xml:space="preserve">). </w:t>
      </w:r>
    </w:p>
    <w:p w:rsidR="00BC5D30" w:rsidRDefault="00BC5D30">
      <w:pPr>
        <w:rPr>
          <w:rFonts w:ascii="Times New Roman" w:eastAsia="Times New Roman" w:hAnsi="Times New Roman" w:cs="Times New Roman"/>
          <w:sz w:val="24"/>
          <w:szCs w:val="24"/>
        </w:rPr>
      </w:pPr>
    </w:p>
    <w:p w:rsidR="00BC5D30" w:rsidRDefault="00DC68A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 </w:t>
      </w:r>
      <w:r w:rsidR="00044B72">
        <w:rPr>
          <w:rFonts w:ascii="Times New Roman" w:eastAsia="Times New Roman" w:hAnsi="Times New Roman" w:cs="Times New Roman"/>
          <w:sz w:val="24"/>
          <w:szCs w:val="24"/>
          <w:u w:val="single"/>
        </w:rPr>
        <w:t>Vectors and Site-directed mutagenesis:</w:t>
      </w:r>
    </w:p>
    <w:p w:rsidR="00BC5D30" w:rsidRPr="00600736" w:rsidRDefault="0097460E" w:rsidP="00F45CF5">
      <w:pPr>
        <w:rPr>
          <w:rFonts w:ascii="Times New Roman" w:eastAsia="Times New Roman" w:hAnsi="Times New Roman" w:cs="Times New Roman"/>
          <w:color w:val="000000" w:themeColor="text1"/>
          <w:sz w:val="24"/>
          <w:szCs w:val="24"/>
        </w:rPr>
      </w:pPr>
      <w:r>
        <w:rPr>
          <w:noProof/>
        </w:rPr>
        <w:drawing>
          <wp:anchor distT="114300" distB="114300" distL="114300" distR="114300" simplePos="0" relativeHeight="251670528" behindDoc="0" locked="0" layoutInCell="1" hidden="0" allowOverlap="1">
            <wp:simplePos x="0" y="0"/>
            <wp:positionH relativeFrom="column">
              <wp:posOffset>3873924</wp:posOffset>
            </wp:positionH>
            <wp:positionV relativeFrom="paragraph">
              <wp:posOffset>7016538</wp:posOffset>
            </wp:positionV>
            <wp:extent cx="1805592" cy="404813"/>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05592" cy="404813"/>
                    </a:xfrm>
                    <a:prstGeom prst="rect">
                      <a:avLst/>
                    </a:prstGeom>
                    <a:ln/>
                  </pic:spPr>
                </pic:pic>
              </a:graphicData>
            </a:graphic>
          </wp:anchor>
        </w:drawing>
      </w:r>
      <w:r w:rsidR="00F45CF5">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4B34F11A">
            <wp:simplePos x="0" y="0"/>
            <wp:positionH relativeFrom="column">
              <wp:posOffset>3481493</wp:posOffset>
            </wp:positionH>
            <wp:positionV relativeFrom="paragraph">
              <wp:posOffset>487680</wp:posOffset>
            </wp:positionV>
            <wp:extent cx="2769870" cy="2370455"/>
            <wp:effectExtent l="0" t="0" r="0" b="4445"/>
            <wp:wrapSquare wrapText="bothSides"/>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2-08 at 12.54.16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9870" cy="2370455"/>
                    </a:xfrm>
                    <a:prstGeom prst="rect">
                      <a:avLst/>
                    </a:prstGeom>
                  </pic:spPr>
                </pic:pic>
              </a:graphicData>
            </a:graphic>
            <wp14:sizeRelH relativeFrom="page">
              <wp14:pctWidth>0</wp14:pctWidth>
            </wp14:sizeRelH>
            <wp14:sizeRelV relativeFrom="page">
              <wp14:pctHeight>0</wp14:pctHeight>
            </wp14:sizeRelV>
          </wp:anchor>
        </w:drawing>
      </w:r>
      <w:r w:rsidR="00A9171C">
        <w:rPr>
          <w:noProof/>
        </w:rPr>
        <w:drawing>
          <wp:anchor distT="114300" distB="114300" distL="114300" distR="114300" simplePos="0" relativeHeight="251669504" behindDoc="0" locked="0" layoutInCell="1" hidden="0" allowOverlap="1">
            <wp:simplePos x="0" y="0"/>
            <wp:positionH relativeFrom="column">
              <wp:posOffset>3737464</wp:posOffset>
            </wp:positionH>
            <wp:positionV relativeFrom="paragraph">
              <wp:posOffset>2984304</wp:posOffset>
            </wp:positionV>
            <wp:extent cx="2461502" cy="566738"/>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461502" cy="566738"/>
                    </a:xfrm>
                    <a:prstGeom prst="rect">
                      <a:avLst/>
                    </a:prstGeom>
                    <a:ln/>
                  </pic:spPr>
                </pic:pic>
              </a:graphicData>
            </a:graphic>
          </wp:anchor>
        </w:drawing>
      </w:r>
      <w:r w:rsidR="00A9171C">
        <w:rPr>
          <w:noProof/>
        </w:rPr>
        <w:drawing>
          <wp:anchor distT="114300" distB="114300" distL="114300" distR="114300" simplePos="0" relativeHeight="251668480" behindDoc="0" locked="0" layoutInCell="1" hidden="0" allowOverlap="1">
            <wp:simplePos x="0" y="0"/>
            <wp:positionH relativeFrom="column">
              <wp:posOffset>3733800</wp:posOffset>
            </wp:positionH>
            <wp:positionV relativeFrom="paragraph">
              <wp:posOffset>3707423</wp:posOffset>
            </wp:positionV>
            <wp:extent cx="2733675" cy="3072735"/>
            <wp:effectExtent l="0" t="0" r="0" b="0"/>
            <wp:wrapSquare wrapText="bothSides" distT="114300" distB="114300" distL="114300" distR="11430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2733675" cy="3072735"/>
                    </a:xfrm>
                    <a:prstGeom prst="rect">
                      <a:avLst/>
                    </a:prstGeom>
                    <a:ln/>
                  </pic:spPr>
                </pic:pic>
              </a:graphicData>
            </a:graphic>
          </wp:anchor>
        </w:drawing>
      </w:r>
      <w:r w:rsidR="00044B72">
        <w:rPr>
          <w:rFonts w:ascii="Times New Roman" w:eastAsia="Times New Roman" w:hAnsi="Times New Roman" w:cs="Times New Roman"/>
          <w:sz w:val="24"/>
          <w:szCs w:val="24"/>
        </w:rPr>
        <w:tab/>
        <w:t xml:space="preserve">The first step in this experiment in this to use a viable vector that can successfully create complementary </w:t>
      </w:r>
      <w:r w:rsidR="00DC68A2">
        <w:rPr>
          <w:rFonts w:ascii="Times New Roman" w:eastAsia="Times New Roman" w:hAnsi="Times New Roman" w:cs="Times New Roman"/>
          <w:sz w:val="24"/>
          <w:szCs w:val="24"/>
        </w:rPr>
        <w:t>D</w:t>
      </w:r>
      <w:r w:rsidR="00044B72">
        <w:rPr>
          <w:rFonts w:ascii="Times New Roman" w:eastAsia="Times New Roman" w:hAnsi="Times New Roman" w:cs="Times New Roman"/>
          <w:sz w:val="24"/>
          <w:szCs w:val="24"/>
        </w:rPr>
        <w:t>NA that can be injected into the oocyte nucleus</w:t>
      </w:r>
      <w:r w:rsidR="00D0414F">
        <w:rPr>
          <w:rFonts w:ascii="Times New Roman" w:eastAsia="Times New Roman" w:hAnsi="Times New Roman" w:cs="Times New Roman"/>
          <w:sz w:val="24"/>
          <w:szCs w:val="24"/>
        </w:rPr>
        <w:t xml:space="preserve"> (Miller &amp; Zhou, 2000)</w:t>
      </w:r>
      <w:r w:rsidR="00044B72">
        <w:rPr>
          <w:rFonts w:ascii="Times New Roman" w:eastAsia="Times New Roman" w:hAnsi="Times New Roman" w:cs="Times New Roman"/>
          <w:sz w:val="24"/>
          <w:szCs w:val="24"/>
        </w:rPr>
        <w:t xml:space="preserve">. The vector that will be used for this experiment </w:t>
      </w:r>
      <w:r w:rsidR="001E203C">
        <w:rPr>
          <w:rFonts w:ascii="Times New Roman" w:eastAsia="Times New Roman" w:hAnsi="Times New Roman" w:cs="Times New Roman"/>
          <w:sz w:val="24"/>
          <w:szCs w:val="24"/>
        </w:rPr>
        <w:t>is commercial</w:t>
      </w:r>
      <w:r w:rsidR="00901CC4">
        <w:rPr>
          <w:rFonts w:ascii="Times New Roman" w:eastAsia="Times New Roman" w:hAnsi="Times New Roman" w:cs="Times New Roman"/>
          <w:sz w:val="24"/>
          <w:szCs w:val="24"/>
        </w:rPr>
        <w:t>ly</w:t>
      </w:r>
      <w:r w:rsidR="001E203C">
        <w:rPr>
          <w:rFonts w:ascii="Times New Roman" w:eastAsia="Times New Roman" w:hAnsi="Times New Roman" w:cs="Times New Roman"/>
          <w:sz w:val="24"/>
          <w:szCs w:val="24"/>
        </w:rPr>
        <w:t xml:space="preserve"> </w:t>
      </w:r>
      <w:r w:rsidR="00F45CF5">
        <w:rPr>
          <w:rFonts w:ascii="Times New Roman" w:eastAsia="Times New Roman" w:hAnsi="Times New Roman" w:cs="Times New Roman"/>
          <w:sz w:val="24"/>
          <w:szCs w:val="24"/>
        </w:rPr>
        <w:t>available</w:t>
      </w:r>
      <w:r w:rsidR="001E203C">
        <w:rPr>
          <w:rFonts w:ascii="Times New Roman" w:eastAsia="Times New Roman" w:hAnsi="Times New Roman" w:cs="Times New Roman"/>
          <w:sz w:val="24"/>
          <w:szCs w:val="24"/>
        </w:rPr>
        <w:t xml:space="preserve"> and will be provided by The </w:t>
      </w:r>
      <w:proofErr w:type="spellStart"/>
      <w:r w:rsidR="001E203C">
        <w:rPr>
          <w:rFonts w:ascii="Times New Roman" w:eastAsia="Times New Roman" w:hAnsi="Times New Roman" w:cs="Times New Roman"/>
          <w:sz w:val="24"/>
          <w:szCs w:val="24"/>
        </w:rPr>
        <w:t>ORFeome</w:t>
      </w:r>
      <w:proofErr w:type="spellEnd"/>
      <w:r w:rsidR="001E203C">
        <w:rPr>
          <w:rFonts w:ascii="Times New Roman" w:eastAsia="Times New Roman" w:hAnsi="Times New Roman" w:cs="Times New Roman"/>
          <w:sz w:val="24"/>
          <w:szCs w:val="24"/>
        </w:rPr>
        <w:t xml:space="preserve"> Collaboration. The vector (pENTR223.1) contains the appropriate HCN4 DNA.  </w:t>
      </w:r>
      <w:r w:rsidR="00044B72">
        <w:rPr>
          <w:rFonts w:ascii="Times New Roman" w:eastAsia="Times New Roman" w:hAnsi="Times New Roman" w:cs="Times New Roman"/>
          <w:b/>
          <w:sz w:val="24"/>
          <w:szCs w:val="24"/>
        </w:rPr>
        <w:t xml:space="preserve">Figure 7 </w:t>
      </w:r>
      <w:r w:rsidR="00044B72">
        <w:rPr>
          <w:rFonts w:ascii="Times New Roman" w:eastAsia="Times New Roman" w:hAnsi="Times New Roman" w:cs="Times New Roman"/>
          <w:sz w:val="24"/>
          <w:szCs w:val="24"/>
        </w:rPr>
        <w:t xml:space="preserve">depicts the structure of the vector </w:t>
      </w:r>
      <w:r w:rsidR="00F45CF5">
        <w:rPr>
          <w:rFonts w:ascii="Times New Roman" w:eastAsia="Times New Roman" w:hAnsi="Times New Roman" w:cs="Times New Roman"/>
          <w:sz w:val="24"/>
          <w:szCs w:val="24"/>
        </w:rPr>
        <w:t xml:space="preserve">that is </w:t>
      </w:r>
      <w:r>
        <w:rPr>
          <w:rFonts w:ascii="Times New Roman" w:eastAsia="Times New Roman" w:hAnsi="Times New Roman" w:cs="Times New Roman"/>
          <w:sz w:val="24"/>
          <w:szCs w:val="24"/>
        </w:rPr>
        <w:t>available</w:t>
      </w:r>
      <w:r w:rsidR="00F45CF5">
        <w:rPr>
          <w:rFonts w:ascii="Times New Roman" w:eastAsia="Times New Roman" w:hAnsi="Times New Roman" w:cs="Times New Roman"/>
          <w:sz w:val="24"/>
          <w:szCs w:val="24"/>
        </w:rPr>
        <w:t xml:space="preserve"> through </w:t>
      </w:r>
      <w:proofErr w:type="spellStart"/>
      <w:r w:rsidR="00F45CF5">
        <w:rPr>
          <w:rFonts w:ascii="Times New Roman" w:eastAsia="Times New Roman" w:hAnsi="Times New Roman" w:cs="Times New Roman"/>
          <w:sz w:val="24"/>
          <w:szCs w:val="24"/>
        </w:rPr>
        <w:t>ORFeome</w:t>
      </w:r>
      <w:proofErr w:type="spellEnd"/>
      <w:r w:rsidR="00F45CF5">
        <w:rPr>
          <w:rFonts w:ascii="Times New Roman" w:eastAsia="Times New Roman" w:hAnsi="Times New Roman" w:cs="Times New Roman"/>
          <w:sz w:val="24"/>
          <w:szCs w:val="24"/>
        </w:rPr>
        <w:t xml:space="preserve"> </w:t>
      </w:r>
      <w:proofErr w:type="spellStart"/>
      <w:r w:rsidR="00F45CF5">
        <w:rPr>
          <w:rFonts w:ascii="Times New Roman" w:eastAsia="Times New Roman" w:hAnsi="Times New Roman" w:cs="Times New Roman"/>
          <w:sz w:val="24"/>
          <w:szCs w:val="24"/>
        </w:rPr>
        <w:t>Colloboration</w:t>
      </w:r>
      <w:proofErr w:type="spellEnd"/>
      <w:r w:rsidR="00044B72">
        <w:rPr>
          <w:rFonts w:ascii="Times New Roman" w:eastAsia="Times New Roman" w:hAnsi="Times New Roman" w:cs="Times New Roman"/>
          <w:sz w:val="24"/>
          <w:szCs w:val="24"/>
        </w:rPr>
        <w:t>. Human HCN4 channel cDNA clone will be used as a template to engineer the mutation of cysteine to arginine by</w:t>
      </w:r>
      <w:r w:rsidR="00F45CF5">
        <w:rPr>
          <w:rFonts w:ascii="Times New Roman" w:eastAsia="Times New Roman" w:hAnsi="Times New Roman" w:cs="Times New Roman"/>
          <w:sz w:val="24"/>
          <w:szCs w:val="24"/>
        </w:rPr>
        <w:t xml:space="preserve"> a point mutation</w:t>
      </w:r>
      <w:r w:rsidR="00044B72">
        <w:rPr>
          <w:rFonts w:ascii="Times New Roman" w:eastAsia="Times New Roman" w:hAnsi="Times New Roman" w:cs="Times New Roman"/>
          <w:sz w:val="24"/>
          <w:szCs w:val="24"/>
        </w:rPr>
        <w:t xml:space="preserve"> </w:t>
      </w:r>
      <w:r w:rsidR="00F45CF5">
        <w:rPr>
          <w:rFonts w:ascii="Times New Roman" w:eastAsia="Times New Roman" w:hAnsi="Times New Roman" w:cs="Times New Roman"/>
          <w:sz w:val="24"/>
          <w:szCs w:val="24"/>
        </w:rPr>
        <w:t xml:space="preserve">through site directed </w:t>
      </w:r>
      <w:r>
        <w:rPr>
          <w:rFonts w:ascii="Times New Roman" w:eastAsia="Times New Roman" w:hAnsi="Times New Roman" w:cs="Times New Roman"/>
          <w:sz w:val="24"/>
          <w:szCs w:val="24"/>
        </w:rPr>
        <w:t>mutagenesis</w:t>
      </w:r>
      <w:r w:rsidR="00F45CF5">
        <w:rPr>
          <w:rFonts w:ascii="Times New Roman" w:eastAsia="Times New Roman" w:hAnsi="Times New Roman" w:cs="Times New Roman"/>
          <w:sz w:val="24"/>
          <w:szCs w:val="24"/>
        </w:rPr>
        <w:t xml:space="preserve"> </w:t>
      </w:r>
      <w:r w:rsidR="00044B72">
        <w:rPr>
          <w:rFonts w:ascii="Times New Roman" w:eastAsia="Times New Roman" w:hAnsi="Times New Roman" w:cs="Times New Roman"/>
          <w:sz w:val="24"/>
          <w:szCs w:val="24"/>
        </w:rPr>
        <w:t xml:space="preserve">PCR that will change one </w:t>
      </w:r>
      <w:r>
        <w:rPr>
          <w:rFonts w:ascii="Times New Roman" w:eastAsia="Times New Roman" w:hAnsi="Times New Roman" w:cs="Times New Roman"/>
          <w:sz w:val="24"/>
          <w:szCs w:val="24"/>
        </w:rPr>
        <w:t>thymine</w:t>
      </w:r>
      <w:r w:rsidR="00044B72">
        <w:rPr>
          <w:rFonts w:ascii="Times New Roman" w:eastAsia="Times New Roman" w:hAnsi="Times New Roman" w:cs="Times New Roman"/>
          <w:sz w:val="24"/>
          <w:szCs w:val="24"/>
        </w:rPr>
        <w:t xml:space="preserve"> to a cy</w:t>
      </w:r>
      <w:r>
        <w:rPr>
          <w:rFonts w:ascii="Times New Roman" w:eastAsia="Times New Roman" w:hAnsi="Times New Roman" w:cs="Times New Roman"/>
          <w:sz w:val="24"/>
          <w:szCs w:val="24"/>
        </w:rPr>
        <w:t>steine</w:t>
      </w:r>
      <w:r w:rsidR="00044B72">
        <w:rPr>
          <w:rFonts w:ascii="Times New Roman" w:eastAsia="Times New Roman" w:hAnsi="Times New Roman" w:cs="Times New Roman"/>
          <w:sz w:val="24"/>
          <w:szCs w:val="24"/>
        </w:rPr>
        <w:t xml:space="preserve">. The overall point mutation will cause a shift from </w:t>
      </w:r>
      <w:r w:rsidR="00767390">
        <w:rPr>
          <w:rFonts w:ascii="Times New Roman" w:eastAsia="Times New Roman" w:hAnsi="Times New Roman" w:cs="Times New Roman"/>
          <w:sz w:val="24"/>
          <w:szCs w:val="24"/>
        </w:rPr>
        <w:t>T</w:t>
      </w:r>
      <w:r w:rsidR="00044B72">
        <w:rPr>
          <w:rFonts w:ascii="Times New Roman" w:eastAsia="Times New Roman" w:hAnsi="Times New Roman" w:cs="Times New Roman"/>
          <w:sz w:val="24"/>
          <w:szCs w:val="24"/>
        </w:rPr>
        <w:t>G</w:t>
      </w:r>
      <w:r w:rsidR="00F45CF5">
        <w:rPr>
          <w:rFonts w:ascii="Times New Roman" w:eastAsia="Times New Roman" w:hAnsi="Times New Roman" w:cs="Times New Roman"/>
          <w:sz w:val="24"/>
          <w:szCs w:val="24"/>
        </w:rPr>
        <w:t>C</w:t>
      </w:r>
      <w:r w:rsidR="00044B72">
        <w:rPr>
          <w:rFonts w:ascii="Times New Roman" w:eastAsia="Times New Roman" w:hAnsi="Times New Roman" w:cs="Times New Roman"/>
          <w:sz w:val="24"/>
          <w:szCs w:val="24"/>
        </w:rPr>
        <w:t xml:space="preserve"> to CG</w:t>
      </w:r>
      <w:r w:rsidR="00F45CF5">
        <w:rPr>
          <w:rFonts w:ascii="Times New Roman" w:eastAsia="Times New Roman" w:hAnsi="Times New Roman" w:cs="Times New Roman"/>
          <w:sz w:val="24"/>
          <w:szCs w:val="24"/>
        </w:rPr>
        <w:t>C</w:t>
      </w:r>
      <w:r w:rsidR="00044B72">
        <w:rPr>
          <w:rFonts w:ascii="Times New Roman" w:eastAsia="Times New Roman" w:hAnsi="Times New Roman" w:cs="Times New Roman"/>
          <w:sz w:val="24"/>
          <w:szCs w:val="24"/>
        </w:rPr>
        <w:t xml:space="preserve"> effectively creating the desired c</w:t>
      </w:r>
      <w:r w:rsidR="00F45CF5">
        <w:rPr>
          <w:rFonts w:ascii="Times New Roman" w:eastAsia="Times New Roman" w:hAnsi="Times New Roman" w:cs="Times New Roman"/>
          <w:sz w:val="24"/>
          <w:szCs w:val="24"/>
        </w:rPr>
        <w:t>D</w:t>
      </w:r>
      <w:r w:rsidR="00044B72">
        <w:rPr>
          <w:rFonts w:ascii="Times New Roman" w:eastAsia="Times New Roman" w:hAnsi="Times New Roman" w:cs="Times New Roman"/>
          <w:sz w:val="24"/>
          <w:szCs w:val="24"/>
        </w:rPr>
        <w:t xml:space="preserve">NA. </w:t>
      </w:r>
      <w:r w:rsidR="00044B72">
        <w:rPr>
          <w:rFonts w:ascii="Times New Roman" w:eastAsia="Times New Roman" w:hAnsi="Times New Roman" w:cs="Times New Roman"/>
          <w:b/>
          <w:sz w:val="24"/>
          <w:szCs w:val="24"/>
        </w:rPr>
        <w:t xml:space="preserve">Figure 8 </w:t>
      </w:r>
      <w:r w:rsidR="00044B72">
        <w:rPr>
          <w:rFonts w:ascii="Times New Roman" w:eastAsia="Times New Roman" w:hAnsi="Times New Roman" w:cs="Times New Roman"/>
          <w:sz w:val="24"/>
          <w:szCs w:val="24"/>
        </w:rPr>
        <w:t>depicts how base substitution functions in detail. T</w:t>
      </w:r>
      <w:r w:rsidR="00F45CF5">
        <w:rPr>
          <w:rFonts w:ascii="Times New Roman" w:eastAsia="Times New Roman" w:hAnsi="Times New Roman" w:cs="Times New Roman"/>
          <w:sz w:val="24"/>
          <w:szCs w:val="24"/>
        </w:rPr>
        <w:t xml:space="preserve">he DNA plasmid is made up of two sets up complementary DNA. During the first step the plasmid is heated in vitro </w:t>
      </w:r>
      <w:r w:rsidR="00600736">
        <w:rPr>
          <w:rFonts w:ascii="Times New Roman" w:eastAsia="Times New Roman" w:hAnsi="Times New Roman" w:cs="Times New Roman"/>
          <w:sz w:val="24"/>
          <w:szCs w:val="24"/>
        </w:rPr>
        <w:t xml:space="preserve">to 95 º C </w:t>
      </w:r>
      <w:r w:rsidR="00F45CF5">
        <w:rPr>
          <w:rFonts w:ascii="Times New Roman" w:eastAsia="Times New Roman" w:hAnsi="Times New Roman" w:cs="Times New Roman"/>
          <w:sz w:val="24"/>
          <w:szCs w:val="24"/>
        </w:rPr>
        <w:t xml:space="preserve">which destroys the hydrogen bonds between the base pairs and allows the two strands to separate. PCR primers are ordered which contain the sequence </w:t>
      </w:r>
      <w:r w:rsidR="00767390">
        <w:rPr>
          <w:rFonts w:ascii="Times New Roman" w:eastAsia="Times New Roman" w:hAnsi="Times New Roman" w:cs="Times New Roman"/>
          <w:sz w:val="24"/>
          <w:szCs w:val="24"/>
        </w:rPr>
        <w:t>with the point base mutation present. The PCR primer sequence that will be used will be</w:t>
      </w:r>
      <w:r>
        <w:rPr>
          <w:rFonts w:ascii="Times New Roman" w:eastAsia="Times New Roman" w:hAnsi="Times New Roman" w:cs="Times New Roman"/>
          <w:sz w:val="24"/>
          <w:szCs w:val="24"/>
        </w:rPr>
        <w:t xml:space="preserve"> </w:t>
      </w:r>
      <w:r w:rsidR="00600736">
        <w:rPr>
          <w:rFonts w:ascii="Times New Roman" w:eastAsia="Times New Roman" w:hAnsi="Times New Roman" w:cs="Times New Roman"/>
          <w:sz w:val="24"/>
          <w:szCs w:val="24"/>
        </w:rPr>
        <w:t>TCGGTGTACGAC</w:t>
      </w:r>
      <w:r w:rsidR="00600736">
        <w:rPr>
          <w:rFonts w:ascii="Times New Roman" w:eastAsia="Times New Roman" w:hAnsi="Times New Roman" w:cs="Times New Roman"/>
          <w:color w:val="FF0000"/>
          <w:sz w:val="24"/>
          <w:szCs w:val="24"/>
        </w:rPr>
        <w:t>C</w:t>
      </w:r>
      <w:r w:rsidR="00600736">
        <w:rPr>
          <w:rFonts w:ascii="Times New Roman" w:eastAsia="Times New Roman" w:hAnsi="Times New Roman" w:cs="Times New Roman"/>
          <w:color w:val="000000" w:themeColor="text1"/>
          <w:sz w:val="24"/>
          <w:szCs w:val="24"/>
        </w:rPr>
        <w:t xml:space="preserve">CGTAGCCGATG.  The region itself has a sequence of AGCCACATGCTGTGCATCGGCTAC .The sequence of the region was found using the National Center for Biotechnology Information’s website. The point mutation is depicted in red and does not hydrogen bond to its complement region because they are not complementary. In the annealing step, the solution is allowed to cool which allows the primers to attach to their complementary regions. DNA polymerase and free nucleotides are added in vitro as well. The solution is then heated once more which allows the DNA polymerase to begin </w:t>
      </w:r>
      <w:r w:rsidR="00901CC4">
        <w:rPr>
          <w:rFonts w:ascii="Times New Roman" w:eastAsia="Times New Roman" w:hAnsi="Times New Roman" w:cs="Times New Roman"/>
          <w:color w:val="000000" w:themeColor="text1"/>
          <w:sz w:val="24"/>
          <w:szCs w:val="24"/>
        </w:rPr>
        <w:t xml:space="preserve">to </w:t>
      </w:r>
      <w:r w:rsidR="00600736">
        <w:rPr>
          <w:rFonts w:ascii="Times New Roman" w:eastAsia="Times New Roman" w:hAnsi="Times New Roman" w:cs="Times New Roman"/>
          <w:color w:val="000000" w:themeColor="text1"/>
          <w:sz w:val="24"/>
          <w:szCs w:val="24"/>
        </w:rPr>
        <w:t xml:space="preserve">synthesize new DNA in the 5’ to 3’ direction that </w:t>
      </w:r>
      <w:r w:rsidR="00600736">
        <w:rPr>
          <w:rFonts w:ascii="Times New Roman" w:eastAsia="Times New Roman" w:hAnsi="Times New Roman" w:cs="Times New Roman"/>
          <w:color w:val="000000" w:themeColor="text1"/>
          <w:sz w:val="24"/>
          <w:szCs w:val="24"/>
        </w:rPr>
        <w:lastRenderedPageBreak/>
        <w:t xml:space="preserve">contains the new codon sequence. One of the DNA strands is the parent strand while the other is the mutated strand. The parent strand is then </w:t>
      </w:r>
      <w:r>
        <w:rPr>
          <w:rFonts w:ascii="Times New Roman" w:eastAsia="Times New Roman" w:hAnsi="Times New Roman" w:cs="Times New Roman"/>
          <w:color w:val="000000" w:themeColor="text1"/>
          <w:sz w:val="24"/>
          <w:szCs w:val="24"/>
        </w:rPr>
        <w:t>removed using methylation-dependent endonuclease  (</w:t>
      </w:r>
      <w:proofErr w:type="spellStart"/>
      <w:r>
        <w:rPr>
          <w:rFonts w:ascii="Times New Roman" w:eastAsia="Times New Roman" w:hAnsi="Times New Roman" w:cs="Times New Roman"/>
          <w:color w:val="000000" w:themeColor="text1"/>
          <w:sz w:val="24"/>
          <w:szCs w:val="24"/>
        </w:rPr>
        <w:t>Laursen</w:t>
      </w:r>
      <w:proofErr w:type="spellEnd"/>
      <w:r>
        <w:rPr>
          <w:rFonts w:ascii="Times New Roman" w:eastAsia="Times New Roman" w:hAnsi="Times New Roman" w:cs="Times New Roman"/>
          <w:color w:val="000000" w:themeColor="text1"/>
          <w:sz w:val="24"/>
          <w:szCs w:val="24"/>
        </w:rPr>
        <w:t xml:space="preserve">, 2016). Another round of separation and replication occurs which yields the new modified </w:t>
      </w:r>
      <w:r w:rsidR="00901CC4">
        <w:rPr>
          <w:rFonts w:ascii="Times New Roman" w:eastAsia="Times New Roman" w:hAnsi="Times New Roman" w:cs="Times New Roman"/>
          <w:color w:val="000000" w:themeColor="text1"/>
          <w:sz w:val="24"/>
          <w:szCs w:val="24"/>
        </w:rPr>
        <w:t xml:space="preserve">double stranded </w:t>
      </w:r>
      <w:r>
        <w:rPr>
          <w:rFonts w:ascii="Times New Roman" w:eastAsia="Times New Roman" w:hAnsi="Times New Roman" w:cs="Times New Roman"/>
          <w:color w:val="000000" w:themeColor="text1"/>
          <w:sz w:val="24"/>
          <w:szCs w:val="24"/>
        </w:rPr>
        <w:t>DNA which is created by DNA polymerase and free nucleotides. Thus, the new product double stranded complementary DNA is created</w:t>
      </w:r>
      <w:r w:rsidR="00901CC4">
        <w:rPr>
          <w:rFonts w:ascii="Times New Roman" w:eastAsia="Times New Roman" w:hAnsi="Times New Roman" w:cs="Times New Roman"/>
          <w:color w:val="000000" w:themeColor="text1"/>
          <w:sz w:val="24"/>
          <w:szCs w:val="24"/>
        </w:rPr>
        <w:t xml:space="preserve"> which contains the desired mutation. </w:t>
      </w: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u w:val="single"/>
        </w:rPr>
        <w:t>In vi</w:t>
      </w:r>
      <w:r w:rsidR="00BF0BAA">
        <w:rPr>
          <w:rFonts w:ascii="Times New Roman" w:eastAsia="Times New Roman" w:hAnsi="Times New Roman" w:cs="Times New Roman"/>
          <w:sz w:val="24"/>
          <w:szCs w:val="24"/>
          <w:u w:val="single"/>
        </w:rPr>
        <w:t>vo</w:t>
      </w:r>
      <w:r>
        <w:rPr>
          <w:rFonts w:ascii="Times New Roman" w:eastAsia="Times New Roman" w:hAnsi="Times New Roman" w:cs="Times New Roman"/>
          <w:sz w:val="24"/>
          <w:szCs w:val="24"/>
          <w:u w:val="single"/>
        </w:rPr>
        <w:t xml:space="preserve"> injection into </w:t>
      </w:r>
      <w:r>
        <w:rPr>
          <w:rFonts w:ascii="Times New Roman" w:eastAsia="Times New Roman" w:hAnsi="Times New Roman" w:cs="Times New Roman"/>
          <w:i/>
          <w:sz w:val="24"/>
          <w:szCs w:val="24"/>
          <w:u w:val="single"/>
        </w:rPr>
        <w:t xml:space="preserve">Xenopus </w:t>
      </w:r>
      <w:r>
        <w:rPr>
          <w:rFonts w:ascii="Times New Roman" w:eastAsia="Times New Roman" w:hAnsi="Times New Roman" w:cs="Times New Roman"/>
          <w:sz w:val="24"/>
          <w:szCs w:val="24"/>
          <w:u w:val="single"/>
        </w:rPr>
        <w:t>oocyte:</w:t>
      </w:r>
    </w:p>
    <w:p w:rsidR="00BC5D30" w:rsidRDefault="00044B72">
      <w:pPr>
        <w:ind w:firstLine="720"/>
        <w:rPr>
          <w:rFonts w:ascii="Times New Roman" w:eastAsia="Times New Roman" w:hAnsi="Times New Roman" w:cs="Times New Roman"/>
          <w:sz w:val="24"/>
          <w:szCs w:val="24"/>
        </w:rPr>
      </w:pPr>
      <w:r>
        <w:rPr>
          <w:noProof/>
        </w:rPr>
        <w:drawing>
          <wp:anchor distT="114300" distB="114300" distL="114300" distR="114300" simplePos="0" relativeHeight="251671552" behindDoc="0" locked="0" layoutInCell="1" hidden="0" allowOverlap="1">
            <wp:simplePos x="0" y="0"/>
            <wp:positionH relativeFrom="column">
              <wp:posOffset>-419099</wp:posOffset>
            </wp:positionH>
            <wp:positionV relativeFrom="paragraph">
              <wp:posOffset>142875</wp:posOffset>
            </wp:positionV>
            <wp:extent cx="3264263" cy="1843088"/>
            <wp:effectExtent l="0" t="0" r="0" b="0"/>
            <wp:wrapSquare wrapText="bothSides" distT="114300" distB="114300" distL="114300" distR="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264263" cy="1843088"/>
                    </a:xfrm>
                    <a:prstGeom prst="rect">
                      <a:avLst/>
                    </a:prstGeom>
                    <a:ln/>
                  </pic:spPr>
                </pic:pic>
              </a:graphicData>
            </a:graphic>
          </wp:anchor>
        </w:drawing>
      </w:r>
    </w:p>
    <w:p w:rsidR="00BC5D30" w:rsidRDefault="00BC5D30">
      <w:pPr>
        <w:ind w:firstLine="720"/>
        <w:rPr>
          <w:rFonts w:ascii="Times New Roman" w:eastAsia="Times New Roman" w:hAnsi="Times New Roman" w:cs="Times New Roman"/>
          <w:sz w:val="24"/>
          <w:szCs w:val="24"/>
        </w:rPr>
      </w:pPr>
    </w:p>
    <w:p w:rsidR="00BC5D30" w:rsidRDefault="00044B72">
      <w:pPr>
        <w:ind w:firstLine="720"/>
        <w:rPr>
          <w:rFonts w:ascii="Times New Roman" w:eastAsia="Times New Roman" w:hAnsi="Times New Roman" w:cs="Times New Roman"/>
          <w:sz w:val="24"/>
          <w:szCs w:val="24"/>
        </w:rPr>
      </w:pPr>
      <w:r>
        <w:rPr>
          <w:noProof/>
        </w:rPr>
        <w:drawing>
          <wp:anchor distT="114300" distB="114300" distL="114300" distR="114300" simplePos="0" relativeHeight="251672576" behindDoc="0" locked="0" layoutInCell="1" hidden="0" allowOverlap="1">
            <wp:simplePos x="0" y="0"/>
            <wp:positionH relativeFrom="column">
              <wp:posOffset>3028950</wp:posOffset>
            </wp:positionH>
            <wp:positionV relativeFrom="paragraph">
              <wp:posOffset>171450</wp:posOffset>
            </wp:positionV>
            <wp:extent cx="2252663" cy="664993"/>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252663" cy="664993"/>
                    </a:xfrm>
                    <a:prstGeom prst="rect">
                      <a:avLst/>
                    </a:prstGeom>
                    <a:ln/>
                  </pic:spPr>
                </pic:pic>
              </a:graphicData>
            </a:graphic>
          </wp:anchor>
        </w:drawing>
      </w: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w:t>
      </w:r>
      <w:r w:rsidR="0097460E">
        <w:rPr>
          <w:rFonts w:ascii="Times New Roman" w:eastAsia="Times New Roman" w:hAnsi="Times New Roman" w:cs="Times New Roman"/>
          <w:sz w:val="24"/>
          <w:szCs w:val="24"/>
        </w:rPr>
        <w:t>cD</w:t>
      </w:r>
      <w:r>
        <w:rPr>
          <w:rFonts w:ascii="Times New Roman" w:eastAsia="Times New Roman" w:hAnsi="Times New Roman" w:cs="Times New Roman"/>
          <w:sz w:val="24"/>
          <w:szCs w:val="24"/>
        </w:rPr>
        <w:t>NA has been created the next step is to microinject c</w:t>
      </w:r>
      <w:r w:rsidR="0097460E">
        <w:rPr>
          <w:rFonts w:ascii="Times New Roman" w:eastAsia="Times New Roman" w:hAnsi="Times New Roman" w:cs="Times New Roman"/>
          <w:sz w:val="24"/>
          <w:szCs w:val="24"/>
        </w:rPr>
        <w:t>D</w:t>
      </w:r>
      <w:r>
        <w:rPr>
          <w:rFonts w:ascii="Times New Roman" w:eastAsia="Times New Roman" w:hAnsi="Times New Roman" w:cs="Times New Roman"/>
          <w:sz w:val="24"/>
          <w:szCs w:val="24"/>
        </w:rPr>
        <w:t>NA into the nucleus of the oocytes</w:t>
      </w:r>
      <w:r w:rsidR="0097460E">
        <w:rPr>
          <w:rFonts w:ascii="Times New Roman" w:eastAsia="Times New Roman" w:hAnsi="Times New Roman" w:cs="Times New Roman"/>
          <w:sz w:val="24"/>
          <w:szCs w:val="24"/>
        </w:rPr>
        <w:t xml:space="preserve"> using a microinjector</w:t>
      </w:r>
      <w:r>
        <w:rPr>
          <w:rFonts w:ascii="Times New Roman" w:eastAsia="Times New Roman" w:hAnsi="Times New Roman" w:cs="Times New Roman"/>
          <w:sz w:val="24"/>
          <w:szCs w:val="24"/>
        </w:rPr>
        <w:t>. This step should be done for both the wild-type and mutant oocyte. The advantage of injecting DNA is that there is no need to perform in vitro transcription reactions, which saves both time and money (</w:t>
      </w:r>
      <w:r w:rsidR="00BF0BAA">
        <w:rPr>
          <w:rFonts w:ascii="Times New Roman" w:eastAsia="Times New Roman" w:hAnsi="Times New Roman" w:cs="Times New Roman"/>
          <w:sz w:val="24"/>
          <w:szCs w:val="24"/>
        </w:rPr>
        <w:t>Goldin and Alan, 2006</w:t>
      </w:r>
      <w:r>
        <w:rPr>
          <w:rFonts w:ascii="Times New Roman" w:eastAsia="Times New Roman" w:hAnsi="Times New Roman" w:cs="Times New Roman"/>
          <w:sz w:val="24"/>
          <w:szCs w:val="24"/>
        </w:rPr>
        <w:t>). Cytoplasmic injection is rapid and simple procedure. All that is needed is a dissecting microscope, micromanipulator, and an injector (</w:t>
      </w:r>
      <w:r w:rsidR="00BF0BAA">
        <w:rPr>
          <w:rFonts w:ascii="Times New Roman" w:eastAsia="Times New Roman" w:hAnsi="Times New Roman" w:cs="Times New Roman"/>
          <w:sz w:val="24"/>
          <w:szCs w:val="24"/>
        </w:rPr>
        <w:t>Goldin and Alan, 2006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Figure 9 </w:t>
      </w:r>
      <w:r>
        <w:rPr>
          <w:rFonts w:ascii="Times New Roman" w:eastAsia="Times New Roman" w:hAnsi="Times New Roman" w:cs="Times New Roman"/>
          <w:sz w:val="24"/>
          <w:szCs w:val="24"/>
        </w:rPr>
        <w:t>depicts how once the c</w:t>
      </w:r>
      <w:r w:rsidR="00901CC4">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NA is injected translation is allowed to occur and the oocyte will begin to express the mutant or wild-type human HCN4 </w:t>
      </w:r>
      <w:r w:rsidR="00901CC4">
        <w:rPr>
          <w:rFonts w:ascii="Times New Roman" w:eastAsia="Times New Roman" w:hAnsi="Times New Roman" w:cs="Times New Roman"/>
          <w:sz w:val="24"/>
          <w:szCs w:val="24"/>
        </w:rPr>
        <w:t>channel. The cDNA goes through the process of translation which creates mRNA that translates into a functional protein that expresses the mutation.</w:t>
      </w:r>
      <w:r>
        <w:rPr>
          <w:rFonts w:ascii="Times New Roman" w:eastAsia="Times New Roman" w:hAnsi="Times New Roman" w:cs="Times New Roman"/>
          <w:b/>
          <w:sz w:val="24"/>
          <w:szCs w:val="24"/>
        </w:rPr>
        <w:t xml:space="preserve"> Figure 10 </w:t>
      </w:r>
      <w:r>
        <w:rPr>
          <w:rFonts w:ascii="Times New Roman" w:eastAsia="Times New Roman" w:hAnsi="Times New Roman" w:cs="Times New Roman"/>
          <w:sz w:val="24"/>
          <w:szCs w:val="24"/>
        </w:rPr>
        <w:t xml:space="preserve">depicts the overall microinjection setup that contains the dissecting microscope, micromanipulator, and the injector. </w:t>
      </w:r>
    </w:p>
    <w:p w:rsidR="00BC5D30" w:rsidRDefault="00044B72">
      <w:pPr>
        <w:ind w:firstLine="720"/>
        <w:rPr>
          <w:rFonts w:ascii="Calibri" w:eastAsia="Calibri" w:hAnsi="Calibri" w:cs="Calibri"/>
          <w:sz w:val="24"/>
          <w:szCs w:val="24"/>
        </w:rPr>
      </w:pPr>
      <w:r>
        <w:rPr>
          <w:noProof/>
        </w:rPr>
        <w:lastRenderedPageBreak/>
        <w:drawing>
          <wp:anchor distT="114300" distB="114300" distL="114300" distR="114300" simplePos="0" relativeHeight="251673600" behindDoc="0" locked="0" layoutInCell="1" hidden="0" allowOverlap="1">
            <wp:simplePos x="0" y="0"/>
            <wp:positionH relativeFrom="column">
              <wp:posOffset>-76199</wp:posOffset>
            </wp:positionH>
            <wp:positionV relativeFrom="paragraph">
              <wp:posOffset>190500</wp:posOffset>
            </wp:positionV>
            <wp:extent cx="2198811" cy="2662238"/>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198811" cy="2662238"/>
                    </a:xfrm>
                    <a:prstGeom prst="rect">
                      <a:avLst/>
                    </a:prstGeom>
                    <a:ln/>
                  </pic:spPr>
                </pic:pic>
              </a:graphicData>
            </a:graphic>
          </wp:anchor>
        </w:drawing>
      </w:r>
    </w:p>
    <w:p w:rsidR="00BC5D30" w:rsidRDefault="00BC5D30">
      <w:pPr>
        <w:ind w:firstLine="720"/>
        <w:rPr>
          <w:rFonts w:ascii="Calibri" w:eastAsia="Calibri" w:hAnsi="Calibri" w:cs="Calibri"/>
          <w:sz w:val="24"/>
          <w:szCs w:val="24"/>
        </w:rPr>
      </w:pP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u w:val="single"/>
        </w:rPr>
        <w:t>Measuring electrophysiology with TEVC (two electrode voltage clamp):</w:t>
      </w:r>
      <w:r>
        <w:rPr>
          <w:rFonts w:ascii="Times New Roman" w:eastAsia="Times New Roman" w:hAnsi="Times New Roman" w:cs="Times New Roman"/>
          <w:sz w:val="24"/>
          <w:szCs w:val="24"/>
        </w:rPr>
        <w:t xml:space="preserve">  </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 compare both oocytes and the impact of the mutation on the HCN4 channel the electrophysiology of each set of oocytes will be measured. The method that will be used will be two-electrode whole cell voltage-clamp (TEVC). Whole cell voltage clamping of oocytes involves using two electrodes inserted into the oocyte with one measuring the internal potential of the oocyte and the other electrode being used to inject current (</w:t>
      </w:r>
      <w:r w:rsidR="00BF0BAA">
        <w:rPr>
          <w:rFonts w:ascii="Times New Roman" w:eastAsia="Times New Roman" w:hAnsi="Times New Roman" w:cs="Times New Roman"/>
          <w:sz w:val="24"/>
          <w:szCs w:val="24"/>
        </w:rPr>
        <w:t>Goldin and Alan, 2006</w:t>
      </w:r>
      <w:r>
        <w:rPr>
          <w:rFonts w:ascii="Times New Roman" w:eastAsia="Times New Roman" w:hAnsi="Times New Roman" w:cs="Times New Roman"/>
          <w:sz w:val="24"/>
          <w:szCs w:val="24"/>
        </w:rPr>
        <w:t xml:space="preserve">). The large size of the oocyte makes this system possible since it contains enough room for both electrodes. The electrodes </w:t>
      </w:r>
      <w:r>
        <w:rPr>
          <w:noProof/>
        </w:rPr>
        <w:drawing>
          <wp:anchor distT="114300" distB="114300" distL="114300" distR="114300" simplePos="0" relativeHeight="251674624" behindDoc="0" locked="0" layoutInCell="1" hidden="0" allowOverlap="1">
            <wp:simplePos x="0" y="0"/>
            <wp:positionH relativeFrom="column">
              <wp:posOffset>-76199</wp:posOffset>
            </wp:positionH>
            <wp:positionV relativeFrom="paragraph">
              <wp:posOffset>2114550</wp:posOffset>
            </wp:positionV>
            <wp:extent cx="2238128" cy="528638"/>
            <wp:effectExtent l="0" t="0" r="0" b="0"/>
            <wp:wrapSquare wrapText="bothSides" distT="114300" distB="114300" distL="114300" distR="11430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2238128" cy="528638"/>
                    </a:xfrm>
                    <a:prstGeom prst="rect">
                      <a:avLst/>
                    </a:prstGeom>
                    <a:ln/>
                  </pic:spPr>
                </pic:pic>
              </a:graphicData>
            </a:graphic>
          </wp:anchor>
        </w:drawing>
      </w:r>
    </w:p>
    <w:p w:rsidR="00BC5D30" w:rsidRDefault="003722CF">
      <w:pPr>
        <w:rPr>
          <w:rFonts w:ascii="Times New Roman" w:eastAsia="Times New Roman" w:hAnsi="Times New Roman" w:cs="Times New Roman"/>
          <w:sz w:val="24"/>
          <w:szCs w:val="24"/>
        </w:rPr>
      </w:pPr>
      <w:r>
        <w:rPr>
          <w:noProof/>
        </w:rPr>
        <w:drawing>
          <wp:anchor distT="114300" distB="114300" distL="114300" distR="114300" simplePos="0" relativeHeight="251677696" behindDoc="0" locked="0" layoutInCell="1" hidden="0" allowOverlap="1">
            <wp:simplePos x="0" y="0"/>
            <wp:positionH relativeFrom="column">
              <wp:posOffset>53764</wp:posOffset>
            </wp:positionH>
            <wp:positionV relativeFrom="paragraph">
              <wp:posOffset>3792643</wp:posOffset>
            </wp:positionV>
            <wp:extent cx="2252663" cy="443955"/>
            <wp:effectExtent l="0" t="0" r="0" b="0"/>
            <wp:wrapSquare wrapText="bothSides" distT="114300" distB="11430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252663" cy="443955"/>
                    </a:xfrm>
                    <a:prstGeom prst="rect">
                      <a:avLst/>
                    </a:prstGeom>
                    <a:ln/>
                  </pic:spPr>
                </pic:pic>
              </a:graphicData>
            </a:graphic>
          </wp:anchor>
        </w:drawing>
      </w:r>
      <w:r w:rsidR="00044B72">
        <w:rPr>
          <w:rFonts w:ascii="Times New Roman" w:eastAsia="Times New Roman" w:hAnsi="Times New Roman" w:cs="Times New Roman"/>
          <w:sz w:val="24"/>
          <w:szCs w:val="24"/>
        </w:rPr>
        <w:t>are made of glass and are filled with 3 M KCl solutions and have an electric resistance between .2 and 3 M (</w:t>
      </w:r>
      <w:r w:rsidR="00BF0BAA">
        <w:rPr>
          <w:rFonts w:ascii="Times New Roman" w:eastAsia="Times New Roman" w:hAnsi="Times New Roman" w:cs="Times New Roman"/>
          <w:sz w:val="24"/>
          <w:szCs w:val="24"/>
        </w:rPr>
        <w:t>Bianchi</w:t>
      </w:r>
      <w:r w:rsidR="00BF0BAA">
        <w:rPr>
          <w:rFonts w:ascii="Times New Roman" w:eastAsia="Times New Roman" w:hAnsi="Times New Roman" w:cs="Times New Roman"/>
          <w:sz w:val="24"/>
          <w:szCs w:val="24"/>
        </w:rPr>
        <w:t>, 2004</w:t>
      </w:r>
      <w:r w:rsidR="00044B72">
        <w:rPr>
          <w:rFonts w:ascii="Times New Roman" w:eastAsia="Times New Roman" w:hAnsi="Times New Roman" w:cs="Times New Roman"/>
          <w:sz w:val="24"/>
          <w:szCs w:val="24"/>
        </w:rPr>
        <w:t>). Ca</w:t>
      </w:r>
      <w:r w:rsidR="00044B72">
        <w:rPr>
          <w:rFonts w:ascii="Times New Roman" w:eastAsia="Times New Roman" w:hAnsi="Times New Roman" w:cs="Times New Roman"/>
          <w:sz w:val="24"/>
          <w:szCs w:val="24"/>
          <w:vertAlign w:val="superscript"/>
        </w:rPr>
        <w:t>2+</w:t>
      </w:r>
      <w:r w:rsidR="00044B72">
        <w:rPr>
          <w:rFonts w:ascii="Times New Roman" w:eastAsia="Times New Roman" w:hAnsi="Times New Roman" w:cs="Times New Roman"/>
          <w:sz w:val="24"/>
          <w:szCs w:val="24"/>
        </w:rPr>
        <w:t xml:space="preserve"> buffers are used to inhibit endogenous calcium currents ( </w:t>
      </w:r>
      <w:r w:rsidR="00BF0BAA">
        <w:rPr>
          <w:rFonts w:ascii="Times New Roman" w:eastAsia="Times New Roman" w:hAnsi="Times New Roman" w:cs="Times New Roman"/>
          <w:sz w:val="24"/>
          <w:szCs w:val="24"/>
        </w:rPr>
        <w:t>Bianchi</w:t>
      </w:r>
      <w:r w:rsidR="00BF0BAA">
        <w:rPr>
          <w:rFonts w:ascii="Times New Roman" w:eastAsia="Times New Roman" w:hAnsi="Times New Roman" w:cs="Times New Roman"/>
          <w:sz w:val="24"/>
          <w:szCs w:val="24"/>
        </w:rPr>
        <w:t>, 2004</w:t>
      </w:r>
      <w:r w:rsidR="00044B72">
        <w:rPr>
          <w:rFonts w:ascii="Times New Roman" w:eastAsia="Times New Roman" w:hAnsi="Times New Roman" w:cs="Times New Roman"/>
          <w:sz w:val="24"/>
          <w:szCs w:val="24"/>
        </w:rPr>
        <w:t>). The electrodes are then mounted on electrode-holders that contain a silver wire with a layer of AgCl</w:t>
      </w:r>
      <w:r w:rsidR="00044B72">
        <w:rPr>
          <w:rFonts w:ascii="Times New Roman" w:eastAsia="Times New Roman" w:hAnsi="Times New Roman" w:cs="Times New Roman"/>
          <w:sz w:val="24"/>
          <w:szCs w:val="24"/>
          <w:vertAlign w:val="subscript"/>
        </w:rPr>
        <w:t xml:space="preserve">2 </w:t>
      </w:r>
      <w:r w:rsidR="00044B72">
        <w:rPr>
          <w:rFonts w:ascii="Times New Roman" w:eastAsia="Times New Roman" w:hAnsi="Times New Roman" w:cs="Times New Roman"/>
          <w:sz w:val="24"/>
          <w:szCs w:val="24"/>
        </w:rPr>
        <w:t xml:space="preserve">that allows the transmission of the signal from the KCl solution into the oocyte. To be able to visualize the oocytes, a stereomicroscope is equipped with a cold light source and is placed under the vibration isolation table beneath a Faraday cage ( </w:t>
      </w:r>
      <w:r w:rsidR="00BF0BAA">
        <w:rPr>
          <w:rFonts w:ascii="Times New Roman" w:eastAsia="Times New Roman" w:hAnsi="Times New Roman" w:cs="Times New Roman"/>
          <w:sz w:val="24"/>
          <w:szCs w:val="24"/>
        </w:rPr>
        <w:t>Bianchi, 2004</w:t>
      </w:r>
      <w:r w:rsidR="00044B72">
        <w:rPr>
          <w:rFonts w:ascii="Times New Roman" w:eastAsia="Times New Roman" w:hAnsi="Times New Roman" w:cs="Times New Roman"/>
          <w:sz w:val="24"/>
          <w:szCs w:val="24"/>
        </w:rPr>
        <w:t xml:space="preserve">). The Faraday cage is used to reduce electronic noise. Oocyte impalement is done in clamp (controlled) mode and successful impalement is determined by reading the resting membrane on the amplifier display. A healthy non-injected oocyte should have a resting membrane potential of -40 mV ( </w:t>
      </w:r>
      <w:r w:rsidR="00BF0BAA">
        <w:rPr>
          <w:rFonts w:ascii="Times New Roman" w:eastAsia="Times New Roman" w:hAnsi="Times New Roman" w:cs="Times New Roman"/>
          <w:sz w:val="24"/>
          <w:szCs w:val="24"/>
        </w:rPr>
        <w:t>Bianchi, 2004</w:t>
      </w:r>
      <w:r w:rsidR="00044B72">
        <w:rPr>
          <w:rFonts w:ascii="Times New Roman" w:eastAsia="Times New Roman" w:hAnsi="Times New Roman" w:cs="Times New Roman"/>
          <w:sz w:val="24"/>
          <w:szCs w:val="24"/>
        </w:rPr>
        <w:t xml:space="preserve">). Once both electrodes have been inserted, the amplifier is set in voltage clamp mode and the voltage-clamp feedback gain, which is used to compensate for membrane capacity, is increased to speed up the time response of the voltage clamp. Currents are then filtered and recorded using a digital converter and a computer. The activation curves for the </w:t>
      </w:r>
      <w:r w:rsidR="00A9171C">
        <w:rPr>
          <w:noProof/>
        </w:rPr>
        <w:drawing>
          <wp:anchor distT="114300" distB="114300" distL="114300" distR="114300" simplePos="0" relativeHeight="251675648" behindDoc="0" locked="0" layoutInCell="1" hidden="0" allowOverlap="1">
            <wp:simplePos x="0" y="0"/>
            <wp:positionH relativeFrom="column">
              <wp:posOffset>-374015</wp:posOffset>
            </wp:positionH>
            <wp:positionV relativeFrom="paragraph">
              <wp:posOffset>1547495</wp:posOffset>
            </wp:positionV>
            <wp:extent cx="4020185" cy="2166620"/>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020185" cy="2166620"/>
                    </a:xfrm>
                    <a:prstGeom prst="rect">
                      <a:avLst/>
                    </a:prstGeom>
                    <a:ln/>
                  </pic:spPr>
                </pic:pic>
              </a:graphicData>
            </a:graphic>
          </wp:anchor>
        </w:drawing>
      </w:r>
      <w:r w:rsidR="00044B72">
        <w:rPr>
          <w:rFonts w:ascii="Times New Roman" w:eastAsia="Times New Roman" w:hAnsi="Times New Roman" w:cs="Times New Roman"/>
          <w:sz w:val="24"/>
          <w:szCs w:val="24"/>
        </w:rPr>
        <w:t xml:space="preserve">HCN4 currents should be recorded under whole-cell conditions that are obtained by standard activation and deactivation protocols and analyzed with the Boltzmann equation, y </w:t>
      </w:r>
      <w:r w:rsidR="00044B72">
        <w:rPr>
          <w:rFonts w:ascii="Times New Roman" w:eastAsia="Times New Roman" w:hAnsi="Times New Roman" w:cs="Times New Roman"/>
          <w:sz w:val="24"/>
          <w:szCs w:val="24"/>
        </w:rPr>
        <w:lastRenderedPageBreak/>
        <w:t>=1/{1 +exp (V-V</w:t>
      </w:r>
      <w:r w:rsidR="00044B72">
        <w:rPr>
          <w:rFonts w:ascii="Times New Roman" w:eastAsia="Times New Roman" w:hAnsi="Times New Roman" w:cs="Times New Roman"/>
          <w:sz w:val="24"/>
          <w:szCs w:val="24"/>
          <w:vertAlign w:val="subscript"/>
        </w:rPr>
        <w:t xml:space="preserve">1/2  </w:t>
      </w:r>
      <w:r w:rsidR="00044B72">
        <w:rPr>
          <w:rFonts w:ascii="Times New Roman" w:eastAsia="Times New Roman" w:hAnsi="Times New Roman" w:cs="Times New Roman"/>
          <w:sz w:val="24"/>
          <w:szCs w:val="24"/>
        </w:rPr>
        <w:t>/s</w:t>
      </w:r>
      <w:r w:rsidR="00044B72">
        <w:rPr>
          <w:rFonts w:ascii="Times New Roman" w:eastAsia="Times New Roman" w:hAnsi="Times New Roman" w:cs="Times New Roman"/>
          <w:sz w:val="24"/>
          <w:szCs w:val="24"/>
          <w:vertAlign w:val="subscript"/>
        </w:rPr>
        <w:t xml:space="preserve"> </w:t>
      </w:r>
      <w:r w:rsidR="00044B72">
        <w:rPr>
          <w:rFonts w:ascii="Times New Roman" w:eastAsia="Times New Roman" w:hAnsi="Times New Roman" w:cs="Times New Roman"/>
          <w:sz w:val="24"/>
          <w:szCs w:val="24"/>
        </w:rPr>
        <w:t>) (</w:t>
      </w:r>
      <w:proofErr w:type="spellStart"/>
      <w:r w:rsidR="00BF0BAA">
        <w:rPr>
          <w:rFonts w:ascii="Times New Roman" w:eastAsia="Times New Roman" w:hAnsi="Times New Roman" w:cs="Times New Roman"/>
          <w:sz w:val="24"/>
          <w:szCs w:val="24"/>
        </w:rPr>
        <w:t>Milanesi</w:t>
      </w:r>
      <w:proofErr w:type="spellEnd"/>
      <w:r w:rsidR="00BF0BAA">
        <w:rPr>
          <w:rFonts w:ascii="Times New Roman" w:eastAsia="Times New Roman" w:hAnsi="Times New Roman" w:cs="Times New Roman"/>
          <w:sz w:val="24"/>
          <w:szCs w:val="24"/>
        </w:rPr>
        <w:t xml:space="preserve"> et al, 2006</w:t>
      </w:r>
      <w:r w:rsidR="00044B72">
        <w:rPr>
          <w:rFonts w:ascii="Times New Roman" w:eastAsia="Times New Roman" w:hAnsi="Times New Roman" w:cs="Times New Roman"/>
          <w:sz w:val="24"/>
          <w:szCs w:val="24"/>
        </w:rPr>
        <w:t>). Where y is the fractional activation, V is the voltage in millivolts,  V</w:t>
      </w:r>
      <w:r w:rsidR="00044B72">
        <w:rPr>
          <w:rFonts w:ascii="Times New Roman" w:eastAsia="Times New Roman" w:hAnsi="Times New Roman" w:cs="Times New Roman"/>
          <w:sz w:val="24"/>
          <w:szCs w:val="24"/>
          <w:vertAlign w:val="subscript"/>
        </w:rPr>
        <w:t xml:space="preserve">1/2  </w:t>
      </w:r>
      <w:r w:rsidR="00044B72">
        <w:rPr>
          <w:rFonts w:ascii="Times New Roman" w:eastAsia="Times New Roman" w:hAnsi="Times New Roman" w:cs="Times New Roman"/>
          <w:sz w:val="24"/>
          <w:szCs w:val="24"/>
        </w:rPr>
        <w:t>is the half-activation voltage in millivolts, and s is the inverse slope factor in millivolts (</w:t>
      </w:r>
      <w:proofErr w:type="spellStart"/>
      <w:r w:rsidR="00BF0BAA">
        <w:rPr>
          <w:rFonts w:ascii="Times New Roman" w:eastAsia="Times New Roman" w:hAnsi="Times New Roman" w:cs="Times New Roman"/>
          <w:sz w:val="24"/>
          <w:szCs w:val="24"/>
        </w:rPr>
        <w:t>Milanesi</w:t>
      </w:r>
      <w:proofErr w:type="spellEnd"/>
      <w:r w:rsidR="00BF0BAA">
        <w:rPr>
          <w:rFonts w:ascii="Times New Roman" w:eastAsia="Times New Roman" w:hAnsi="Times New Roman" w:cs="Times New Roman"/>
          <w:sz w:val="24"/>
          <w:szCs w:val="24"/>
        </w:rPr>
        <w:t xml:space="preserve"> et </w:t>
      </w:r>
      <w:r>
        <w:rPr>
          <w:noProof/>
        </w:rPr>
        <w:drawing>
          <wp:anchor distT="114300" distB="114300" distL="114300" distR="114300" simplePos="0" relativeHeight="251676672" behindDoc="0" locked="0" layoutInCell="1" hidden="0" allowOverlap="1">
            <wp:simplePos x="0" y="0"/>
            <wp:positionH relativeFrom="column">
              <wp:posOffset>-748241</wp:posOffset>
            </wp:positionH>
            <wp:positionV relativeFrom="paragraph">
              <wp:posOffset>475403</wp:posOffset>
            </wp:positionV>
            <wp:extent cx="4078605" cy="2280920"/>
            <wp:effectExtent l="0" t="0" r="0" b="0"/>
            <wp:wrapSquare wrapText="bothSides" distT="114300" distB="114300" distL="114300" distR="11430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078605" cy="2280920"/>
                    </a:xfrm>
                    <a:prstGeom prst="rect">
                      <a:avLst/>
                    </a:prstGeom>
                    <a:ln/>
                  </pic:spPr>
                </pic:pic>
              </a:graphicData>
            </a:graphic>
          </wp:anchor>
        </w:drawing>
      </w:r>
      <w:r w:rsidR="00BF0BAA">
        <w:rPr>
          <w:rFonts w:ascii="Times New Roman" w:eastAsia="Times New Roman" w:hAnsi="Times New Roman" w:cs="Times New Roman"/>
          <w:sz w:val="24"/>
          <w:szCs w:val="24"/>
        </w:rPr>
        <w:t>al, 2006</w:t>
      </w:r>
      <w:r w:rsidR="00044B72">
        <w:rPr>
          <w:rFonts w:ascii="Times New Roman" w:eastAsia="Times New Roman" w:hAnsi="Times New Roman" w:cs="Times New Roman"/>
          <w:sz w:val="24"/>
          <w:szCs w:val="24"/>
        </w:rPr>
        <w:t>). Mean activation curves are obtained by fitting individual</w:t>
      </w:r>
      <w:r w:rsidR="00BF0BAA">
        <w:rPr>
          <w:rFonts w:ascii="Times New Roman" w:eastAsia="Times New Roman" w:hAnsi="Times New Roman" w:cs="Times New Roman"/>
          <w:sz w:val="24"/>
          <w:szCs w:val="24"/>
        </w:rPr>
        <w:t xml:space="preserve"> </w:t>
      </w:r>
      <w:r w:rsidR="00044B72">
        <w:rPr>
          <w:rFonts w:ascii="Times New Roman" w:eastAsia="Times New Roman" w:hAnsi="Times New Roman" w:cs="Times New Roman"/>
          <w:sz w:val="24"/>
          <w:szCs w:val="24"/>
        </w:rPr>
        <w:t>curves from each cell to the Boltzmann equation and averaging half-activation voltages and inverse slope factors (</w:t>
      </w:r>
      <w:proofErr w:type="spellStart"/>
      <w:r w:rsidR="00BF0BAA">
        <w:rPr>
          <w:rFonts w:ascii="Times New Roman" w:eastAsia="Times New Roman" w:hAnsi="Times New Roman" w:cs="Times New Roman"/>
          <w:sz w:val="24"/>
          <w:szCs w:val="24"/>
        </w:rPr>
        <w:t>Milanesi</w:t>
      </w:r>
      <w:proofErr w:type="spellEnd"/>
      <w:r w:rsidR="00BF0BAA">
        <w:rPr>
          <w:rFonts w:ascii="Times New Roman" w:eastAsia="Times New Roman" w:hAnsi="Times New Roman" w:cs="Times New Roman"/>
          <w:sz w:val="24"/>
          <w:szCs w:val="24"/>
        </w:rPr>
        <w:t xml:space="preserve"> et al, 2006</w:t>
      </w:r>
      <w:r w:rsidR="00044B72">
        <w:rPr>
          <w:rFonts w:ascii="Times New Roman" w:eastAsia="Times New Roman" w:hAnsi="Times New Roman" w:cs="Times New Roman"/>
          <w:sz w:val="24"/>
          <w:szCs w:val="24"/>
        </w:rPr>
        <w:t xml:space="preserve">). </w:t>
      </w:r>
      <w:r w:rsidR="00044B72">
        <w:rPr>
          <w:rFonts w:ascii="Times New Roman" w:eastAsia="Times New Roman" w:hAnsi="Times New Roman" w:cs="Times New Roman"/>
          <w:b/>
          <w:sz w:val="24"/>
          <w:szCs w:val="24"/>
        </w:rPr>
        <w:t>Figure 11</w:t>
      </w:r>
      <w:r w:rsidR="00044B72">
        <w:rPr>
          <w:rFonts w:ascii="Times New Roman" w:eastAsia="Times New Roman" w:hAnsi="Times New Roman" w:cs="Times New Roman"/>
          <w:sz w:val="24"/>
          <w:szCs w:val="24"/>
        </w:rPr>
        <w:t xml:space="preserve"> shows a diagram of TEVC in action with both electrodes present inserted within the oocyte. </w:t>
      </w:r>
      <w:r w:rsidR="00044B72">
        <w:rPr>
          <w:rFonts w:ascii="Times New Roman" w:eastAsia="Times New Roman" w:hAnsi="Times New Roman" w:cs="Times New Roman"/>
          <w:b/>
          <w:sz w:val="24"/>
          <w:szCs w:val="24"/>
        </w:rPr>
        <w:t xml:space="preserve">Figure 12 </w:t>
      </w:r>
      <w:r w:rsidR="00044B72">
        <w:rPr>
          <w:rFonts w:ascii="Times New Roman" w:eastAsia="Times New Roman" w:hAnsi="Times New Roman" w:cs="Times New Roman"/>
          <w:sz w:val="24"/>
          <w:szCs w:val="24"/>
        </w:rPr>
        <w:t xml:space="preserve">shows the entire experimental process from start to finish. </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5D30" w:rsidRDefault="00BC5D30">
      <w:pPr>
        <w:ind w:firstLine="720"/>
        <w:rPr>
          <w:rFonts w:ascii="Times New Roman" w:eastAsia="Times New Roman" w:hAnsi="Times New Roman" w:cs="Times New Roman"/>
          <w:sz w:val="24"/>
          <w:szCs w:val="24"/>
        </w:rPr>
      </w:pPr>
    </w:p>
    <w:p w:rsidR="00A9171C" w:rsidRDefault="00A9171C">
      <w:pPr>
        <w:ind w:firstLine="720"/>
        <w:rPr>
          <w:rFonts w:ascii="Times New Roman" w:eastAsia="Times New Roman" w:hAnsi="Times New Roman" w:cs="Times New Roman"/>
          <w:b/>
          <w:sz w:val="24"/>
          <w:szCs w:val="24"/>
        </w:rPr>
      </w:pPr>
      <w:r>
        <w:rPr>
          <w:noProof/>
        </w:rPr>
        <w:drawing>
          <wp:anchor distT="114300" distB="114300" distL="114300" distR="114300" simplePos="0" relativeHeight="251678720" behindDoc="0" locked="0" layoutInCell="1" hidden="0" allowOverlap="1">
            <wp:simplePos x="0" y="0"/>
            <wp:positionH relativeFrom="column">
              <wp:posOffset>-39321</wp:posOffset>
            </wp:positionH>
            <wp:positionV relativeFrom="paragraph">
              <wp:posOffset>188595</wp:posOffset>
            </wp:positionV>
            <wp:extent cx="1966595" cy="478790"/>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966595" cy="478790"/>
                    </a:xfrm>
                    <a:prstGeom prst="rect">
                      <a:avLst/>
                    </a:prstGeom>
                    <a:ln/>
                  </pic:spPr>
                </pic:pic>
              </a:graphicData>
            </a:graphic>
          </wp:anchor>
        </w:drawing>
      </w:r>
    </w:p>
    <w:p w:rsidR="00A9171C" w:rsidRDefault="00A9171C">
      <w:pPr>
        <w:ind w:firstLine="720"/>
        <w:rPr>
          <w:rFonts w:ascii="Times New Roman" w:eastAsia="Times New Roman" w:hAnsi="Times New Roman" w:cs="Times New Roman"/>
          <w:b/>
          <w:sz w:val="24"/>
          <w:szCs w:val="24"/>
        </w:rPr>
      </w:pPr>
    </w:p>
    <w:p w:rsidR="00A9171C" w:rsidRDefault="00A9171C">
      <w:pPr>
        <w:ind w:firstLine="720"/>
        <w:rPr>
          <w:rFonts w:ascii="Times New Roman" w:eastAsia="Times New Roman" w:hAnsi="Times New Roman" w:cs="Times New Roman"/>
          <w:b/>
          <w:sz w:val="24"/>
          <w:szCs w:val="24"/>
        </w:rPr>
      </w:pPr>
    </w:p>
    <w:p w:rsidR="00A9171C" w:rsidRDefault="00A9171C">
      <w:pPr>
        <w:ind w:firstLine="720"/>
        <w:rPr>
          <w:rFonts w:ascii="Times New Roman" w:eastAsia="Times New Roman" w:hAnsi="Times New Roman" w:cs="Times New Roman"/>
          <w:b/>
          <w:sz w:val="24"/>
          <w:szCs w:val="24"/>
        </w:rPr>
      </w:pPr>
    </w:p>
    <w:p w:rsidR="00BC5D30" w:rsidRDefault="00044B72">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Discussion:</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results of the experiment may show whether or not the point mutation would have a detrimental impact on the HCN4 </w:t>
      </w:r>
      <w:r w:rsidR="00E37DDB">
        <w:rPr>
          <w:rFonts w:ascii="Times New Roman" w:eastAsia="Times New Roman" w:hAnsi="Times New Roman" w:cs="Times New Roman"/>
          <w:sz w:val="24"/>
          <w:szCs w:val="24"/>
        </w:rPr>
        <w:t>channel,</w:t>
      </w:r>
      <w:r>
        <w:rPr>
          <w:rFonts w:ascii="Times New Roman" w:eastAsia="Times New Roman" w:hAnsi="Times New Roman" w:cs="Times New Roman"/>
          <w:sz w:val="24"/>
          <w:szCs w:val="24"/>
        </w:rPr>
        <w:t xml:space="preserve"> or it may show that there was no impact at all on the mutation. The experiment may show that </w:t>
      </w:r>
      <w:r w:rsidR="00E37DD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mutat</w:t>
      </w:r>
      <w:r w:rsidR="00E37DDB">
        <w:rPr>
          <w:rFonts w:ascii="Times New Roman" w:eastAsia="Times New Roman" w:hAnsi="Times New Roman" w:cs="Times New Roman"/>
          <w:sz w:val="24"/>
          <w:szCs w:val="24"/>
        </w:rPr>
        <w:t>ion</w:t>
      </w:r>
      <w:r>
        <w:rPr>
          <w:rFonts w:ascii="Times New Roman" w:eastAsia="Times New Roman" w:hAnsi="Times New Roman" w:cs="Times New Roman"/>
          <w:sz w:val="24"/>
          <w:szCs w:val="24"/>
        </w:rPr>
        <w:t xml:space="preserve"> from a cyst</w:t>
      </w:r>
      <w:r w:rsidR="003722C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ine to an arginine makes the channels behave differently when compared to the wild-type channel. If the experimental results show that the mutant HCN4 does not responded correctly it may show that any mutations within the P-form region that contains the CIGYG region will lead to </w:t>
      </w:r>
      <w:r w:rsidR="00E37DD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heart</w:t>
      </w:r>
      <w:r w:rsidR="003722CF">
        <w:rPr>
          <w:rFonts w:ascii="Times New Roman" w:eastAsia="Times New Roman" w:hAnsi="Times New Roman" w:cs="Times New Roman"/>
          <w:sz w:val="24"/>
          <w:szCs w:val="24"/>
        </w:rPr>
        <w:t xml:space="preserve"> rate disfunction</w:t>
      </w:r>
      <w:r>
        <w:rPr>
          <w:rFonts w:ascii="Times New Roman" w:eastAsia="Times New Roman" w:hAnsi="Times New Roman" w:cs="Times New Roman"/>
          <w:sz w:val="24"/>
          <w:szCs w:val="24"/>
        </w:rPr>
        <w:t xml:space="preserve">. A limitation of this experiment is that it since there have been no experiments looking into the effects of a </w:t>
      </w:r>
      <w:r w:rsidR="00BF0BAA">
        <w:rPr>
          <w:rFonts w:ascii="Times New Roman" w:eastAsia="Times New Roman" w:hAnsi="Times New Roman" w:cs="Times New Roman"/>
          <w:sz w:val="24"/>
          <w:szCs w:val="24"/>
        </w:rPr>
        <w:t>polar</w:t>
      </w:r>
      <w:r>
        <w:rPr>
          <w:rFonts w:ascii="Times New Roman" w:eastAsia="Times New Roman" w:hAnsi="Times New Roman" w:cs="Times New Roman"/>
          <w:sz w:val="24"/>
          <w:szCs w:val="24"/>
        </w:rPr>
        <w:t xml:space="preserve"> </w:t>
      </w:r>
      <w:r w:rsidR="00BF0BAA">
        <w:rPr>
          <w:rFonts w:ascii="Times New Roman" w:eastAsia="Times New Roman" w:hAnsi="Times New Roman" w:cs="Times New Roman"/>
          <w:sz w:val="24"/>
          <w:szCs w:val="24"/>
        </w:rPr>
        <w:t>amino acid</w:t>
      </w:r>
      <w:r>
        <w:rPr>
          <w:rFonts w:ascii="Times New Roman" w:eastAsia="Times New Roman" w:hAnsi="Times New Roman" w:cs="Times New Roman"/>
          <w:sz w:val="24"/>
          <w:szCs w:val="24"/>
        </w:rPr>
        <w:t xml:space="preserve"> to </w:t>
      </w:r>
      <w:r w:rsidR="00E37DD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positive charged amino acid mutation within the HCN4 it is difficult to say how the channel will respond. Furthermore, it is not known whether </w:t>
      </w:r>
      <w:r w:rsidR="00E37DD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channel may even be able to function with a point mutation that causes a cyst</w:t>
      </w:r>
      <w:r w:rsidR="003722C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ine to convert to an arginine. </w:t>
      </w:r>
    </w:p>
    <w:p w:rsidR="00BC5D30" w:rsidRDefault="00BC5D30">
      <w:pPr>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left="5760" w:firstLine="720"/>
        <w:rPr>
          <w:rFonts w:ascii="Times New Roman" w:eastAsia="Times New Roman" w:hAnsi="Times New Roman" w:cs="Times New Roman"/>
          <w:sz w:val="24"/>
          <w:szCs w:val="24"/>
        </w:rPr>
      </w:pPr>
    </w:p>
    <w:p w:rsidR="00BC5D30" w:rsidRDefault="00BC5D30">
      <w:pPr>
        <w:ind w:left="5760" w:firstLine="720"/>
        <w:rPr>
          <w:rFonts w:ascii="Times New Roman" w:eastAsia="Times New Roman" w:hAnsi="Times New Roman" w:cs="Times New Roman"/>
          <w:sz w:val="24"/>
          <w:szCs w:val="24"/>
        </w:rPr>
      </w:pPr>
    </w:p>
    <w:p w:rsidR="0097460E" w:rsidRDefault="0097460E" w:rsidP="00BF0BAA">
      <w:pPr>
        <w:rPr>
          <w:rFonts w:ascii="Times New Roman" w:eastAsia="Times New Roman" w:hAnsi="Times New Roman" w:cs="Times New Roman"/>
          <w:sz w:val="24"/>
          <w:szCs w:val="24"/>
        </w:rPr>
      </w:pPr>
    </w:p>
    <w:p w:rsidR="003722CF" w:rsidRDefault="003722CF" w:rsidP="00BF0BAA">
      <w:pPr>
        <w:rPr>
          <w:rFonts w:ascii="Times New Roman" w:eastAsia="Times New Roman" w:hAnsi="Times New Roman" w:cs="Times New Roman"/>
          <w:sz w:val="24"/>
          <w:szCs w:val="24"/>
        </w:rPr>
      </w:pPr>
      <w:bookmarkStart w:id="0" w:name="_GoBack"/>
      <w:bookmarkEnd w:id="0"/>
    </w:p>
    <w:p w:rsidR="00BC5D30" w:rsidRDefault="00BC5D30">
      <w:pPr>
        <w:rPr>
          <w:rFonts w:ascii="Times New Roman" w:eastAsia="Times New Roman" w:hAnsi="Times New Roman" w:cs="Times New Roman"/>
          <w:sz w:val="24"/>
          <w:szCs w:val="24"/>
        </w:rPr>
      </w:pPr>
    </w:p>
    <w:p w:rsidR="00BC5D30" w:rsidRDefault="00044B72">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References:</w:t>
      </w:r>
    </w:p>
    <w:p w:rsidR="00BC5D30" w:rsidRDefault="0004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Armstrong, Craig T., et al. “Arginine Side Chain Interactions and the Role of Arginine as a Gating Charge Carrier in Voltage Sensitive Ion Channels.”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vol. 6, no. 1, 2016, doi:10.1038/srep21759.</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Baum, Michael. (2016). Transmembrane carriers of cardenolide-adapted leaf beetles   (Coleoptera, CHRYSOMELIDAE). 10.13140/RG.2.2.27654.37444.</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Bendahhou, Saïd, et al. “Role of Hydrophobic Residues in the Voltage Sensors of the Voltage-Gated Sodium Channel.” </w:t>
      </w:r>
      <w:r>
        <w:rPr>
          <w:rFonts w:ascii="Times New Roman" w:eastAsia="Times New Roman" w:hAnsi="Times New Roman" w:cs="Times New Roman"/>
          <w:i/>
          <w:sz w:val="24"/>
          <w:szCs w:val="24"/>
        </w:rPr>
        <w:t>Biochimica Et Biophysica Acta (BBA) - Biomembranes</w:t>
      </w:r>
      <w:r>
        <w:rPr>
          <w:rFonts w:ascii="Times New Roman" w:eastAsia="Times New Roman" w:hAnsi="Times New Roman" w:cs="Times New Roman"/>
          <w:sz w:val="24"/>
          <w:szCs w:val="24"/>
        </w:rPr>
        <w:t>, vol. 1768, no. 6, 2007, pp. 1440–1447., doi:10.1016/j.bbamem.2007.03.002.</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Bianchi, Laura. “Heterologous Expression of C. Elegans Ion Channels in Xenopus Oocytes.” </w:t>
      </w:r>
      <w:r>
        <w:rPr>
          <w:rFonts w:ascii="Times New Roman" w:eastAsia="Times New Roman" w:hAnsi="Times New Roman" w:cs="Times New Roman"/>
          <w:i/>
          <w:sz w:val="24"/>
          <w:szCs w:val="24"/>
        </w:rPr>
        <w:t>WormBook</w:t>
      </w:r>
      <w:r>
        <w:rPr>
          <w:rFonts w:ascii="Times New Roman" w:eastAsia="Times New Roman" w:hAnsi="Times New Roman" w:cs="Times New Roman"/>
          <w:sz w:val="24"/>
          <w:szCs w:val="24"/>
        </w:rPr>
        <w:t>, 2006, doi:10.1895/wormbook.1.117.1.</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Castorena‐Torres, Fabiola, et al. “Site‐Directed Mutagenesis by Polymerase Chain Reaction.” </w:t>
      </w:r>
      <w:r>
        <w:rPr>
          <w:rFonts w:ascii="Times New Roman" w:eastAsia="Times New Roman" w:hAnsi="Times New Roman" w:cs="Times New Roman"/>
          <w:i/>
          <w:sz w:val="24"/>
          <w:szCs w:val="24"/>
        </w:rPr>
        <w:t>IntechOpen</w:t>
      </w:r>
      <w:r>
        <w:rPr>
          <w:rFonts w:ascii="Times New Roman" w:eastAsia="Times New Roman" w:hAnsi="Times New Roman" w:cs="Times New Roman"/>
          <w:sz w:val="24"/>
          <w:szCs w:val="24"/>
        </w:rPr>
        <w:t>, IntechOpen, 14 Dec. 2016, www.intechopen.com/books/polymerase-chain-reaction-for-biomedical-applications/site-directed-mutagenesis-by-polymerase-chain-reaction.</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Difrancesco, Dario, and Jeffrey S Borer. “The Funny Current.” </w:t>
      </w:r>
      <w:r>
        <w:rPr>
          <w:rFonts w:ascii="Times New Roman" w:eastAsia="Times New Roman" w:hAnsi="Times New Roman" w:cs="Times New Roman"/>
          <w:i/>
          <w:sz w:val="24"/>
          <w:szCs w:val="24"/>
        </w:rPr>
        <w:t>Drugs</w:t>
      </w:r>
      <w:r>
        <w:rPr>
          <w:rFonts w:ascii="Times New Roman" w:eastAsia="Times New Roman" w:hAnsi="Times New Roman" w:cs="Times New Roman"/>
          <w:sz w:val="24"/>
          <w:szCs w:val="24"/>
        </w:rPr>
        <w:t>, vol. 67, no. Supplement 2, 2007, pp. 15–24., doi:10.2165/00003495-200767002-00003.</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Flynn, Galen E., and William N. Zagotta. “Insights into the Molecular Mechanism for Hyperpolarization-Dependent Activation of HCN Channels.”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 vol. 115, no. 34, 2018, doi:10.1073/pnas.1805596115.</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Goldin, Alan L. “Expression of Ion Channels in Xenopus Oocytes.” </w:t>
      </w:r>
      <w:r>
        <w:rPr>
          <w:rFonts w:ascii="Times New Roman" w:eastAsia="Times New Roman" w:hAnsi="Times New Roman" w:cs="Times New Roman"/>
          <w:i/>
          <w:sz w:val="24"/>
          <w:szCs w:val="24"/>
        </w:rPr>
        <w:t>Expression and Analysis of Recombinant Ion Channels</w:t>
      </w:r>
      <w:r>
        <w:rPr>
          <w:rFonts w:ascii="Times New Roman" w:eastAsia="Times New Roman" w:hAnsi="Times New Roman" w:cs="Times New Roman"/>
          <w:sz w:val="24"/>
          <w:szCs w:val="24"/>
        </w:rPr>
        <w:t>, 2006, pp. 1–25., doi:10.1002/3527608095.ch1.</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Hayoz, Sebastien, et al. “Investigating Cyclic Nucleotide and Cyclic Dinucleotide Binding to HCN Channels by Surface Plasmon Resonance.”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vol. 12, no. 9, 2017, doi:10.1371/journal.pone.0185359.</w:t>
      </w:r>
    </w:p>
    <w:p w:rsidR="00BF0BAA" w:rsidRDefault="00BF0BAA" w:rsidP="00BF0BAA">
      <w:pPr>
        <w:pStyle w:val="NormalWeb"/>
        <w:ind w:left="567"/>
      </w:pPr>
      <w:proofErr w:type="spellStart"/>
      <w:r>
        <w:t>Laursen</w:t>
      </w:r>
      <w:proofErr w:type="spellEnd"/>
      <w:r>
        <w:t xml:space="preserve">. “Site Directed Mutagenesis by PCR.” </w:t>
      </w:r>
      <w:proofErr w:type="spellStart"/>
      <w:r>
        <w:rPr>
          <w:i/>
          <w:iCs/>
        </w:rPr>
        <w:t>Addgene</w:t>
      </w:r>
      <w:proofErr w:type="spellEnd"/>
      <w:r>
        <w:rPr>
          <w:i/>
          <w:iCs/>
        </w:rPr>
        <w:t xml:space="preserve"> Blog Share Science</w:t>
      </w:r>
      <w:r>
        <w:t>, 2016, blog.addgene.org/site-directed-mutagenesis-by-</w:t>
      </w:r>
      <w:proofErr w:type="spellStart"/>
      <w:r>
        <w:t>pcr</w:t>
      </w:r>
      <w:proofErr w:type="spellEnd"/>
      <w:r>
        <w:t>.</w:t>
      </w:r>
    </w:p>
    <w:p w:rsidR="00BF0BAA" w:rsidRDefault="00BF0BAA">
      <w:pPr>
        <w:spacing w:before="240" w:after="240"/>
        <w:ind w:left="1120" w:hanging="560"/>
        <w:rPr>
          <w:rFonts w:ascii="Times New Roman" w:eastAsia="Times New Roman" w:hAnsi="Times New Roman" w:cs="Times New Roman"/>
          <w:sz w:val="24"/>
          <w:szCs w:val="24"/>
        </w:rPr>
      </w:pP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Milano, Annalisa, et al. “HCN4 Mutations in Multiple Families With Bradycardia and Left Ventricular Noncompaction Cardiomyopathy.” </w:t>
      </w:r>
      <w:r>
        <w:rPr>
          <w:rFonts w:ascii="Times New Roman" w:eastAsia="Times New Roman" w:hAnsi="Times New Roman" w:cs="Times New Roman"/>
          <w:i/>
          <w:sz w:val="24"/>
          <w:szCs w:val="24"/>
        </w:rPr>
        <w:t>Journal of the American College of Cardiology</w:t>
      </w:r>
      <w:r>
        <w:rPr>
          <w:rFonts w:ascii="Times New Roman" w:eastAsia="Times New Roman" w:hAnsi="Times New Roman" w:cs="Times New Roman"/>
          <w:sz w:val="24"/>
          <w:szCs w:val="24"/>
        </w:rPr>
        <w:t>, vol. 64, no. 8, 2014, pp. 745–756., doi:10.1016/j.jacc.2014.05.045.</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Milanesi, Raffaella, et al. “Familial Sinus Bradycardia Associated with a Mutation in the Cardiac Pacemaker Channel.” </w:t>
      </w:r>
      <w:r>
        <w:rPr>
          <w:rFonts w:ascii="Times New Roman" w:eastAsia="Times New Roman" w:hAnsi="Times New Roman" w:cs="Times New Roman"/>
          <w:i/>
          <w:sz w:val="24"/>
          <w:szCs w:val="24"/>
        </w:rPr>
        <w:t>New England Journal of Medicine</w:t>
      </w:r>
      <w:r>
        <w:rPr>
          <w:rFonts w:ascii="Times New Roman" w:eastAsia="Times New Roman" w:hAnsi="Times New Roman" w:cs="Times New Roman"/>
          <w:sz w:val="24"/>
          <w:szCs w:val="24"/>
        </w:rPr>
        <w:t>, vol. 354, no. 23, 12 Jan. 2006, pp. 2520–2520., doi:10.1056/nejmx060027.</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Miledi, R., et al. “Expression of Functional Neurotransmitter Receptors in Xenopus Oocytes after Injection of Human Brain Membranes.”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 vol. 99, no. 20, 2002, pp. 13238–13242., doi:10.1073/pnas.192445299.</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Miller, A.j, and J.j Zhou. “Xenopus Oocytes as an Expression System for Plant Transporters.” </w:t>
      </w:r>
      <w:r>
        <w:rPr>
          <w:rFonts w:ascii="Times New Roman" w:eastAsia="Times New Roman" w:hAnsi="Times New Roman" w:cs="Times New Roman"/>
          <w:i/>
          <w:sz w:val="24"/>
          <w:szCs w:val="24"/>
        </w:rPr>
        <w:t>Biochimica Et Biophysica Acta (BBA) - Biomembranes</w:t>
      </w:r>
      <w:r>
        <w:rPr>
          <w:rFonts w:ascii="Times New Roman" w:eastAsia="Times New Roman" w:hAnsi="Times New Roman" w:cs="Times New Roman"/>
          <w:sz w:val="24"/>
          <w:szCs w:val="24"/>
        </w:rPr>
        <w:t>, vol. 1465, no. 1-2, 2000, pp. 343–358., doi:10.1016/s0005-2736(00)00148-6.</w:t>
      </w: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5D30" w:rsidRDefault="00BC5D30">
      <w:pPr>
        <w:rPr>
          <w:rFonts w:ascii="Times New Roman" w:eastAsia="Times New Roman" w:hAnsi="Times New Roman" w:cs="Times New Roman"/>
          <w:sz w:val="24"/>
          <w:szCs w:val="24"/>
        </w:rPr>
      </w:pPr>
    </w:p>
    <w:sectPr w:rsidR="00BC5D30">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01C" w:rsidRDefault="001F001C">
      <w:pPr>
        <w:spacing w:line="240" w:lineRule="auto"/>
      </w:pPr>
      <w:r>
        <w:separator/>
      </w:r>
    </w:p>
  </w:endnote>
  <w:endnote w:type="continuationSeparator" w:id="0">
    <w:p w:rsidR="001F001C" w:rsidRDefault="001F00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30" w:rsidRDefault="00BC5D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01C" w:rsidRDefault="001F001C">
      <w:pPr>
        <w:spacing w:line="240" w:lineRule="auto"/>
      </w:pPr>
      <w:r>
        <w:separator/>
      </w:r>
    </w:p>
  </w:footnote>
  <w:footnote w:type="continuationSeparator" w:id="0">
    <w:p w:rsidR="001F001C" w:rsidRDefault="001F001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D30"/>
    <w:rsid w:val="00044B72"/>
    <w:rsid w:val="00174B28"/>
    <w:rsid w:val="001E203C"/>
    <w:rsid w:val="001F001C"/>
    <w:rsid w:val="002B7E23"/>
    <w:rsid w:val="003722CF"/>
    <w:rsid w:val="00600736"/>
    <w:rsid w:val="00767390"/>
    <w:rsid w:val="00901CC4"/>
    <w:rsid w:val="00971A33"/>
    <w:rsid w:val="0097460E"/>
    <w:rsid w:val="00A25413"/>
    <w:rsid w:val="00A9171C"/>
    <w:rsid w:val="00BC5D30"/>
    <w:rsid w:val="00BF0BAA"/>
    <w:rsid w:val="00D0414F"/>
    <w:rsid w:val="00DC68A2"/>
    <w:rsid w:val="00E37DDB"/>
    <w:rsid w:val="00F45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B354"/>
  <w15:docId w15:val="{EA9AB2D5-D14A-354E-8B8E-55D7B2C6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C68A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68A2"/>
    <w:rPr>
      <w:rFonts w:ascii="Times New Roman" w:hAnsi="Times New Roman" w:cs="Times New Roman"/>
      <w:sz w:val="18"/>
      <w:szCs w:val="18"/>
    </w:rPr>
  </w:style>
  <w:style w:type="paragraph" w:styleId="NormalWeb">
    <w:name w:val="Normal (Web)"/>
    <w:basedOn w:val="Normal"/>
    <w:uiPriority w:val="99"/>
    <w:semiHidden/>
    <w:unhideWhenUsed/>
    <w:rsid w:val="00BF0BA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83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2796</Words>
  <Characters>15942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Arashpreet Singh</cp:lastModifiedBy>
  <cp:revision>3</cp:revision>
  <dcterms:created xsi:type="dcterms:W3CDTF">2019-12-08T07:09:00Z</dcterms:created>
  <dcterms:modified xsi:type="dcterms:W3CDTF">2019-12-08T07:11:00Z</dcterms:modified>
</cp:coreProperties>
</file>