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4505F" w14:textId="77777777" w:rsidR="002B721C" w:rsidRDefault="002B721C" w:rsidP="004B1171">
      <w:pPr>
        <w:jc w:val="center"/>
        <w:rPr>
          <w:rFonts w:ascii="Times New Roman" w:hAnsi="Times New Roman" w:cs="Times New Roman"/>
          <w:b/>
          <w:bCs/>
          <w:color w:val="000000"/>
          <w:sz w:val="32"/>
          <w:szCs w:val="28"/>
        </w:rPr>
      </w:pPr>
    </w:p>
    <w:p w14:paraId="6614613C" w14:textId="376F0DD6" w:rsidR="004B1171" w:rsidRPr="004B1171" w:rsidRDefault="004B1171" w:rsidP="004B1171">
      <w:pPr>
        <w:jc w:val="center"/>
        <w:rPr>
          <w:rFonts w:ascii="Times New Roman" w:hAnsi="Times New Roman" w:cs="Times New Roman"/>
          <w:sz w:val="28"/>
        </w:rPr>
      </w:pPr>
      <w:r w:rsidRPr="004B1171">
        <w:rPr>
          <w:rFonts w:ascii="Times New Roman" w:hAnsi="Times New Roman" w:cs="Times New Roman"/>
          <w:b/>
          <w:bCs/>
          <w:color w:val="000000"/>
          <w:sz w:val="32"/>
          <w:szCs w:val="28"/>
        </w:rPr>
        <w:t xml:space="preserve">The Regulation of </w:t>
      </w:r>
      <w:r w:rsidRPr="004B1171">
        <w:rPr>
          <w:rFonts w:ascii="Times New Roman" w:hAnsi="Times New Roman" w:cs="Times New Roman"/>
          <w:b/>
          <w:bCs/>
          <w:color w:val="222222"/>
          <w:sz w:val="32"/>
          <w:szCs w:val="28"/>
          <w:shd w:val="clear" w:color="auto" w:fill="FFFFFF"/>
        </w:rPr>
        <w:t xml:space="preserve">γ-globin and LRF/ZBTB7A by </w:t>
      </w:r>
      <w:r w:rsidRPr="004B1171">
        <w:rPr>
          <w:rFonts w:ascii="Times New Roman" w:hAnsi="Times New Roman" w:cs="Times New Roman"/>
          <w:b/>
          <w:bCs/>
          <w:color w:val="000000"/>
          <w:sz w:val="32"/>
          <w:szCs w:val="28"/>
        </w:rPr>
        <w:t>Kr</w:t>
      </w:r>
      <w:r w:rsidRPr="004B1171">
        <w:rPr>
          <w:rFonts w:ascii="Times New Roman" w:hAnsi="Times New Roman" w:cs="Times New Roman"/>
          <w:b/>
          <w:bCs/>
          <w:color w:val="222222"/>
          <w:sz w:val="32"/>
          <w:szCs w:val="28"/>
          <w:shd w:val="clear" w:color="auto" w:fill="FFFFFF"/>
        </w:rPr>
        <w:t>ü</w:t>
      </w:r>
      <w:r w:rsidRPr="004B1171">
        <w:rPr>
          <w:rFonts w:ascii="Times New Roman" w:hAnsi="Times New Roman" w:cs="Times New Roman"/>
          <w:b/>
          <w:bCs/>
          <w:color w:val="000000"/>
          <w:sz w:val="32"/>
          <w:szCs w:val="28"/>
        </w:rPr>
        <w:t xml:space="preserve">ppel-Like Transcription Factor KLF-1 </w:t>
      </w:r>
      <w:r w:rsidRPr="004B1171">
        <w:rPr>
          <w:rFonts w:ascii="Times New Roman" w:hAnsi="Times New Roman" w:cs="Times New Roman"/>
          <w:b/>
          <w:bCs/>
          <w:color w:val="222222"/>
          <w:sz w:val="32"/>
          <w:szCs w:val="28"/>
          <w:shd w:val="clear" w:color="auto" w:fill="FFFFFF"/>
        </w:rPr>
        <w:t>in Human Erythroid Cells</w:t>
      </w:r>
    </w:p>
    <w:p w14:paraId="36E31B15" w14:textId="7F521320" w:rsidR="004B1171" w:rsidRPr="004B1171" w:rsidRDefault="004B1171" w:rsidP="004B1171">
      <w:pPr>
        <w:rPr>
          <w:rFonts w:ascii="Times New Roman" w:eastAsia="Times New Roman" w:hAnsi="Times New Roman" w:cs="Times New Roman"/>
        </w:rPr>
      </w:pPr>
    </w:p>
    <w:p w14:paraId="4192B7C4" w14:textId="69FFEF69" w:rsidR="00D14181" w:rsidRDefault="006229BD" w:rsidP="004B1171">
      <w:pPr>
        <w:jc w:val="center"/>
        <w:rPr>
          <w:rFonts w:ascii="Times New Roman" w:hAnsi="Times New Roman" w:cs="Times New Roman"/>
          <w:b/>
        </w:rPr>
      </w:pPr>
    </w:p>
    <w:p w14:paraId="34A0AA74" w14:textId="77777777" w:rsidR="004B1171" w:rsidRDefault="004B1171" w:rsidP="004B1171">
      <w:pPr>
        <w:jc w:val="center"/>
        <w:rPr>
          <w:rFonts w:ascii="Times New Roman" w:hAnsi="Times New Roman" w:cs="Times New Roman"/>
          <w:b/>
        </w:rPr>
      </w:pPr>
    </w:p>
    <w:p w14:paraId="12B7EC3A" w14:textId="77777777" w:rsidR="004B1171" w:rsidRDefault="004B1171" w:rsidP="004B1171">
      <w:pPr>
        <w:rPr>
          <w:rFonts w:ascii="Times New Roman" w:hAnsi="Times New Roman" w:cs="Times New Roman"/>
          <w:b/>
          <w:sz w:val="32"/>
        </w:rPr>
      </w:pPr>
      <w:r w:rsidRPr="004B1171">
        <w:rPr>
          <w:rFonts w:ascii="Times New Roman" w:hAnsi="Times New Roman" w:cs="Times New Roman"/>
          <w:b/>
          <w:sz w:val="32"/>
        </w:rPr>
        <w:t>I.  Introduction</w:t>
      </w:r>
    </w:p>
    <w:p w14:paraId="34EE1682" w14:textId="77777777" w:rsidR="004B1171" w:rsidRDefault="004B1171" w:rsidP="004B1171">
      <w:pPr>
        <w:rPr>
          <w:rFonts w:ascii="Times New Roman" w:hAnsi="Times New Roman" w:cs="Times New Roman"/>
          <w:b/>
          <w:sz w:val="32"/>
        </w:rPr>
      </w:pPr>
    </w:p>
    <w:p w14:paraId="2CE23DDD" w14:textId="7446BB24" w:rsidR="004B1171" w:rsidRPr="002B721C" w:rsidRDefault="004B1171" w:rsidP="004B1171">
      <w:pPr>
        <w:spacing w:line="276" w:lineRule="auto"/>
        <w:rPr>
          <w:rFonts w:ascii="Times New Roman" w:hAnsi="Times New Roman" w:cs="Times New Roman"/>
          <w:color w:val="000000"/>
          <w:sz w:val="21"/>
          <w:szCs w:val="14"/>
          <w:shd w:val="clear" w:color="auto" w:fill="FFFFFF"/>
          <w:vertAlign w:val="superscript"/>
        </w:rPr>
      </w:pPr>
      <w:r w:rsidRPr="004B1171">
        <w:rPr>
          <w:rFonts w:ascii="Times New Roman" w:hAnsi="Times New Roman" w:cs="Times New Roman"/>
          <w:color w:val="000000"/>
          <w:shd w:val="clear" w:color="auto" w:fill="FFFFFF"/>
        </w:rPr>
        <w:t>Sickle Cell Disease (SCD) continues to be a prominent inherited blood disorder that affects approximately 70,000-100,000 Americans per year</w:t>
      </w:r>
      <w:r w:rsidR="002B721C">
        <w:rPr>
          <w:rFonts w:ascii="Times New Roman" w:hAnsi="Times New Roman" w:cs="Times New Roman"/>
          <w:color w:val="000000"/>
          <w:sz w:val="32"/>
          <w:szCs w:val="14"/>
          <w:shd w:val="clear" w:color="auto" w:fill="FFFFFF"/>
          <w:vertAlign w:val="superscript"/>
        </w:rPr>
        <w:t>1</w:t>
      </w:r>
      <w:r w:rsidRPr="004B1171">
        <w:rPr>
          <w:rFonts w:ascii="Times New Roman" w:hAnsi="Times New Roman" w:cs="Times New Roman"/>
          <w:color w:val="000000"/>
          <w:shd w:val="clear" w:color="auto" w:fill="FFFFFF"/>
        </w:rPr>
        <w:t xml:space="preserve">. A common variant of SCD, Homozygous sickle cell anemia, affects a gene located on Chromosome 11 named HBB, which encodes for the beta chain of hemoglobin and synthesizes the beta globin protein. In homozygous sickle cell anemia, an </w:t>
      </w:r>
      <w:r w:rsidRPr="00B106CF">
        <w:rPr>
          <w:rFonts w:ascii="Times New Roman" w:hAnsi="Times New Roman" w:cs="Times New Roman"/>
          <w:color w:val="000000"/>
          <w:shd w:val="clear" w:color="auto" w:fill="FFFFFF"/>
        </w:rPr>
        <w:t>autosomal recessively</w:t>
      </w:r>
      <w:r w:rsidRPr="004B1171">
        <w:rPr>
          <w:rFonts w:ascii="Times New Roman" w:hAnsi="Times New Roman" w:cs="Times New Roman"/>
          <w:color w:val="000000"/>
          <w:shd w:val="clear" w:color="auto" w:fill="FFFFFF"/>
        </w:rPr>
        <w:t xml:space="preserve"> inherited mutation changes the 17</w:t>
      </w:r>
      <w:r w:rsidRPr="004B1171">
        <w:rPr>
          <w:rFonts w:ascii="Times New Roman" w:hAnsi="Times New Roman" w:cs="Times New Roman"/>
          <w:color w:val="000000"/>
          <w:sz w:val="14"/>
          <w:szCs w:val="14"/>
          <w:shd w:val="clear" w:color="auto" w:fill="FFFFFF"/>
          <w:vertAlign w:val="superscript"/>
        </w:rPr>
        <w:t>th</w:t>
      </w:r>
      <w:r w:rsidRPr="004B1171">
        <w:rPr>
          <w:rFonts w:ascii="Times New Roman" w:hAnsi="Times New Roman" w:cs="Times New Roman"/>
          <w:color w:val="000000"/>
          <w:shd w:val="clear" w:color="auto" w:fill="FFFFFF"/>
        </w:rPr>
        <w:t xml:space="preserve"> nucleotide of the beta globin gene from a Thymine to an Adenine</w:t>
      </w:r>
      <w:r w:rsidR="002B721C">
        <w:rPr>
          <w:rFonts w:ascii="Times New Roman" w:hAnsi="Times New Roman" w:cs="Times New Roman"/>
          <w:color w:val="000000"/>
          <w:sz w:val="20"/>
          <w:szCs w:val="14"/>
          <w:shd w:val="clear" w:color="auto" w:fill="FFFFFF"/>
          <w:vertAlign w:val="superscript"/>
        </w:rPr>
        <w:t>2</w:t>
      </w:r>
      <w:r w:rsidRPr="004B1171">
        <w:rPr>
          <w:rFonts w:ascii="Times New Roman" w:hAnsi="Times New Roman" w:cs="Times New Roman"/>
          <w:color w:val="000000"/>
          <w:shd w:val="clear" w:color="auto" w:fill="FFFFFF"/>
        </w:rPr>
        <w:t>. This results in the glutamic acid at position 6 in the beta globin gene to be replaced by Valine</w:t>
      </w:r>
      <w:r w:rsidR="002B721C">
        <w:rPr>
          <w:rFonts w:ascii="Times New Roman" w:hAnsi="Times New Roman" w:cs="Times New Roman"/>
          <w:color w:val="000000"/>
          <w:sz w:val="21"/>
          <w:szCs w:val="14"/>
          <w:shd w:val="clear" w:color="auto" w:fill="FFFFFF"/>
          <w:vertAlign w:val="superscript"/>
        </w:rPr>
        <w:t>1,2</w:t>
      </w:r>
      <w:r w:rsidRPr="004B1171">
        <w:rPr>
          <w:rFonts w:ascii="Times New Roman" w:hAnsi="Times New Roman" w:cs="Times New Roman"/>
          <w:color w:val="000000"/>
          <w:shd w:val="clear" w:color="auto" w:fill="FFFFFF"/>
        </w:rPr>
        <w:t xml:space="preserve">. Due to the substitution </w:t>
      </w:r>
      <w:r w:rsidRPr="00B106CF">
        <w:rPr>
          <w:rFonts w:ascii="Times New Roman" w:hAnsi="Times New Roman" w:cs="Times New Roman"/>
          <w:color w:val="000000"/>
          <w:shd w:val="clear" w:color="auto" w:fill="FFFFFF"/>
        </w:rPr>
        <w:t>of Valine, a hydrophobic amino acid, the point mutation causes hemoglobin to polymerize, resulting in</w:t>
      </w:r>
      <w:r w:rsidRPr="004B1171">
        <w:rPr>
          <w:rFonts w:ascii="Times New Roman" w:hAnsi="Times New Roman" w:cs="Times New Roman"/>
          <w:color w:val="000000"/>
          <w:shd w:val="clear" w:color="auto" w:fill="FFFFFF"/>
        </w:rPr>
        <w:t xml:space="preserve"> deformed red blood cells with the marked “sickle” shape. These damaged sickle cells may block large vessels in the body, even causing areas of necrosis called infarcts, to occur in different organs.</w:t>
      </w:r>
      <w:r w:rsidR="002B721C">
        <w:rPr>
          <w:rFonts w:ascii="Times New Roman" w:hAnsi="Times New Roman" w:cs="Times New Roman"/>
          <w:color w:val="000000"/>
          <w:sz w:val="21"/>
          <w:szCs w:val="14"/>
          <w:shd w:val="clear" w:color="auto" w:fill="FFFFFF"/>
          <w:vertAlign w:val="superscript"/>
        </w:rPr>
        <w:t>1</w:t>
      </w:r>
    </w:p>
    <w:p w14:paraId="7E6C0971" w14:textId="0BBCDAC0" w:rsidR="004B1171" w:rsidRDefault="004B1171" w:rsidP="004B1171">
      <w:pPr>
        <w:spacing w:line="276" w:lineRule="auto"/>
        <w:rPr>
          <w:rFonts w:ascii="Times New Roman" w:hAnsi="Times New Roman" w:cs="Times New Roman"/>
          <w:color w:val="000000"/>
          <w:sz w:val="14"/>
          <w:szCs w:val="14"/>
          <w:shd w:val="clear" w:color="auto" w:fill="FFFFFF"/>
          <w:vertAlign w:val="superscript"/>
        </w:rPr>
      </w:pPr>
    </w:p>
    <w:p w14:paraId="5ABAA1B9" w14:textId="3F13EFD5" w:rsidR="00C711BB" w:rsidRDefault="00C711BB" w:rsidP="00C711BB">
      <w:pPr>
        <w:spacing w:line="276" w:lineRule="auto"/>
        <w:rPr>
          <w:rFonts w:ascii="Times New Roman" w:eastAsia="Times New Roman" w:hAnsi="Times New Roman" w:cs="Times New Roman"/>
          <w:color w:val="000000" w:themeColor="text1"/>
          <w:szCs w:val="28"/>
        </w:rPr>
      </w:pPr>
      <w:r w:rsidRPr="00C711BB">
        <w:rPr>
          <w:rFonts w:ascii="Times New Roman" w:eastAsia="Times New Roman" w:hAnsi="Times New Roman" w:cs="Times New Roman"/>
          <w:color w:val="000000" w:themeColor="text1"/>
          <w:szCs w:val="28"/>
        </w:rPr>
        <w:t>As sickle cell anemia continues to have deleterious effects on the body and population, scientists are actively seeking to procure a complete cure for this disease. As of now one of the major treatments of sickle cell anemia involves actively caring for symptoms and even the transfusion of red blood cells.</w:t>
      </w:r>
      <w:r w:rsidRPr="00C711BB">
        <w:rPr>
          <w:rFonts w:ascii="Times New Roman" w:eastAsia="Times New Roman" w:hAnsi="Times New Roman" w:cs="Times New Roman"/>
          <w:color w:val="000000" w:themeColor="text1"/>
          <w:szCs w:val="28"/>
          <w:vertAlign w:val="superscript"/>
        </w:rPr>
        <w:t>4</w:t>
      </w:r>
      <w:r w:rsidRPr="00C711BB">
        <w:rPr>
          <w:rFonts w:ascii="Times New Roman" w:eastAsia="Times New Roman" w:hAnsi="Times New Roman" w:cs="Times New Roman"/>
          <w:color w:val="000000" w:themeColor="text1"/>
          <w:szCs w:val="28"/>
        </w:rPr>
        <w:t xml:space="preserve"> However, clinical complications that arise with the latter, especially when blood transfusions are being performed regularly, involve an overload of iron.</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xml:space="preserve"> These high levels of iron, approximately 200 mg of iron present in 420 mL of donated blood</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continue to persist even when strict regimens are used to remove heavy metals from the body using chelating agents.</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xml:space="preserve"> </w:t>
      </w:r>
    </w:p>
    <w:p w14:paraId="64B555B5" w14:textId="77777777" w:rsidR="00B328F7" w:rsidRDefault="00B328F7" w:rsidP="00C711BB">
      <w:pPr>
        <w:spacing w:line="276" w:lineRule="auto"/>
        <w:rPr>
          <w:rFonts w:ascii="Times New Roman" w:eastAsia="Times New Roman" w:hAnsi="Times New Roman" w:cs="Times New Roman"/>
          <w:color w:val="000000" w:themeColor="text1"/>
          <w:szCs w:val="28"/>
        </w:rPr>
      </w:pPr>
    </w:p>
    <w:p w14:paraId="406749CB" w14:textId="0E8AC3EE" w:rsidR="00B328F7" w:rsidRDefault="00C711BB" w:rsidP="00C711BB">
      <w:pPr>
        <w:spacing w:line="276" w:lineRule="auto"/>
        <w:rPr>
          <w:rStyle w:val="Emphasis"/>
          <w:rFonts w:ascii="Times New Roman" w:eastAsia="Times New Roman" w:hAnsi="Times New Roman" w:cs="Times New Roman"/>
          <w:i w:val="0"/>
          <w:color w:val="000000" w:themeColor="text1"/>
          <w:szCs w:val="28"/>
          <w:shd w:val="clear" w:color="auto" w:fill="FFFFFF"/>
          <w:vertAlign w:val="superscript"/>
        </w:rPr>
      </w:pPr>
      <w:r w:rsidRPr="00C711BB">
        <w:rPr>
          <w:rFonts w:ascii="Times New Roman" w:eastAsia="Times New Roman" w:hAnsi="Times New Roman" w:cs="Times New Roman"/>
          <w:color w:val="000000" w:themeColor="text1"/>
          <w:szCs w:val="28"/>
        </w:rPr>
        <w:t>Another complication lies in the brief timeframe in which patients with sickle cell anemia</w:t>
      </w:r>
      <w:r w:rsidR="0052200D">
        <w:rPr>
          <w:rFonts w:ascii="Times New Roman" w:eastAsia="Times New Roman" w:hAnsi="Times New Roman" w:cs="Times New Roman"/>
          <w:color w:val="000000" w:themeColor="text1"/>
          <w:szCs w:val="28"/>
        </w:rPr>
        <w:t xml:space="preserve"> go from being healthy to</w:t>
      </w:r>
      <w:r w:rsidRPr="00C711BB">
        <w:rPr>
          <w:rFonts w:ascii="Times New Roman" w:eastAsia="Times New Roman" w:hAnsi="Times New Roman" w:cs="Times New Roman"/>
          <w:color w:val="000000" w:themeColor="text1"/>
          <w:szCs w:val="28"/>
        </w:rPr>
        <w:t xml:space="preserve"> begin</w:t>
      </w:r>
      <w:r w:rsidR="0052200D">
        <w:rPr>
          <w:rFonts w:ascii="Times New Roman" w:eastAsia="Times New Roman" w:hAnsi="Times New Roman" w:cs="Times New Roman"/>
          <w:color w:val="000000" w:themeColor="text1"/>
          <w:szCs w:val="28"/>
        </w:rPr>
        <w:t xml:space="preserve">ning </w:t>
      </w:r>
      <w:r w:rsidRPr="00C711BB">
        <w:rPr>
          <w:rFonts w:ascii="Times New Roman" w:eastAsia="Times New Roman" w:hAnsi="Times New Roman" w:cs="Times New Roman"/>
          <w:color w:val="000000" w:themeColor="text1"/>
          <w:szCs w:val="28"/>
        </w:rPr>
        <w:t>exhibit</w:t>
      </w:r>
      <w:r w:rsidR="0052200D">
        <w:rPr>
          <w:rFonts w:ascii="Times New Roman" w:eastAsia="Times New Roman" w:hAnsi="Times New Roman" w:cs="Times New Roman"/>
          <w:color w:val="000000" w:themeColor="text1"/>
          <w:szCs w:val="28"/>
        </w:rPr>
        <w:t>ing</w:t>
      </w:r>
      <w:r w:rsidRPr="00C711BB">
        <w:rPr>
          <w:rFonts w:ascii="Times New Roman" w:eastAsia="Times New Roman" w:hAnsi="Times New Roman" w:cs="Times New Roman"/>
          <w:color w:val="000000" w:themeColor="text1"/>
          <w:szCs w:val="28"/>
        </w:rPr>
        <w:t xml:space="preserve"> harmful symptoms. Shortly after the time of birth, there is a switch of expression from HbF (fetal hemoglobin) to adult hemoglobin (HbA).</w:t>
      </w:r>
      <w:r w:rsidRPr="00C711BB">
        <w:rPr>
          <w:rFonts w:ascii="Times New Roman" w:eastAsia="Times New Roman" w:hAnsi="Times New Roman" w:cs="Times New Roman"/>
          <w:color w:val="000000" w:themeColor="text1"/>
          <w:szCs w:val="28"/>
          <w:vertAlign w:val="superscript"/>
        </w:rPr>
        <w:t>4</w:t>
      </w:r>
      <w:r w:rsidRPr="00C711BB">
        <w:rPr>
          <w:rFonts w:ascii="Times New Roman" w:eastAsia="Times New Roman" w:hAnsi="Times New Roman" w:cs="Times New Roman"/>
          <w:color w:val="000000" w:themeColor="text1"/>
          <w:szCs w:val="28"/>
        </w:rPr>
        <w:t xml:space="preserve"> This switch of expression is mediated by a switch in the transcription of </w:t>
      </w:r>
      <w:r w:rsidRPr="00C711BB">
        <w:rPr>
          <w:rFonts w:ascii="Times New Roman" w:eastAsia="Times New Roman" w:hAnsi="Times New Roman" w:cs="Times New Roman"/>
          <w:i/>
          <w:color w:val="000000" w:themeColor="text1"/>
          <w:szCs w:val="28"/>
          <w:shd w:val="clear" w:color="auto" w:fill="FFFFFF"/>
        </w:rPr>
        <w:t xml:space="preserve">γ- to </w:t>
      </w:r>
      <w:r w:rsidRPr="00C711BB">
        <w:rPr>
          <w:rStyle w:val="Emphasis"/>
          <w:rFonts w:ascii="Times New Roman" w:eastAsia="Times New Roman" w:hAnsi="Times New Roman" w:cs="Times New Roman"/>
          <w:i w:val="0"/>
          <w:color w:val="000000" w:themeColor="text1"/>
          <w:szCs w:val="28"/>
          <w:shd w:val="clear" w:color="auto" w:fill="FFFFFF"/>
        </w:rPr>
        <w:t>β-globin. (Fig.1</w:t>
      </w:r>
      <w:r w:rsidR="00B328F7">
        <w:rPr>
          <w:rStyle w:val="Emphasis"/>
          <w:rFonts w:ascii="Times New Roman" w:eastAsia="Times New Roman" w:hAnsi="Times New Roman" w:cs="Times New Roman"/>
          <w:i w:val="0"/>
          <w:color w:val="000000" w:themeColor="text1"/>
          <w:szCs w:val="28"/>
          <w:shd w:val="clear" w:color="auto" w:fill="FFFFFF"/>
        </w:rPr>
        <w:t>)</w:t>
      </w:r>
    </w:p>
    <w:p w14:paraId="4C671819" w14:textId="1E30FE75" w:rsidR="00C711BB" w:rsidRPr="00B328F7" w:rsidRDefault="00B328F7" w:rsidP="00C711BB">
      <w:pPr>
        <w:spacing w:line="276" w:lineRule="auto"/>
        <w:rPr>
          <w:rFonts w:ascii="Times New Roman" w:eastAsia="Times New Roman" w:hAnsi="Times New Roman" w:cs="Times New Roman"/>
          <w:iCs/>
          <w:color w:val="000000" w:themeColor="text1"/>
          <w:szCs w:val="28"/>
          <w:shd w:val="clear" w:color="auto" w:fill="FFFFFF"/>
          <w:vertAlign w:val="superscript"/>
        </w:rPr>
      </w:pPr>
      <w:r>
        <w:rPr>
          <w:rFonts w:ascii="Times New Roman" w:eastAsia="Times New Roman" w:hAnsi="Times New Roman" w:cs="Times New Roman"/>
          <w:iCs/>
          <w:noProof/>
          <w:color w:val="000000" w:themeColor="text1"/>
          <w:szCs w:val="28"/>
          <w:vertAlign w:val="superscript"/>
        </w:rPr>
        <w:lastRenderedPageBreak/>
        <mc:AlternateContent>
          <mc:Choice Requires="wps">
            <w:drawing>
              <wp:anchor distT="0" distB="0" distL="114300" distR="114300" simplePos="0" relativeHeight="251663360" behindDoc="0" locked="0" layoutInCell="1" allowOverlap="1" wp14:anchorId="3C99E189" wp14:editId="41242A6E">
                <wp:simplePos x="0" y="0"/>
                <wp:positionH relativeFrom="column">
                  <wp:posOffset>2106295</wp:posOffset>
                </wp:positionH>
                <wp:positionV relativeFrom="paragraph">
                  <wp:posOffset>3655695</wp:posOffset>
                </wp:positionV>
                <wp:extent cx="37719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7719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782DC" w14:textId="69908CFB" w:rsidR="00B328F7" w:rsidRDefault="00B328F7" w:rsidP="00B328F7">
                            <w:pPr>
                              <w:rPr>
                                <w:rFonts w:ascii="Times New Roman" w:eastAsia="Times New Roman" w:hAnsi="Times New Roman" w:cs="Times New Roman"/>
                                <w:sz w:val="21"/>
                              </w:rPr>
                            </w:pPr>
                            <w:r>
                              <w:rPr>
                                <w:rFonts w:ascii="Times New Roman" w:eastAsia="Times New Roman" w:hAnsi="Times New Roman" w:cs="Times New Roman"/>
                              </w:rPr>
                              <w:t>Fig 1 -</w:t>
                            </w:r>
                            <w:r w:rsidRPr="00B328F7">
                              <w:rPr>
                                <w:rFonts w:ascii="Times New Roman" w:eastAsia="Times New Roman" w:hAnsi="Times New Roman" w:cs="Times New Roman"/>
                                <w:sz w:val="21"/>
                              </w:rPr>
                              <w:t xml:space="preserve">The fetal-to-adult hemoglobin switch. This illustration depicts the normal timing of the developmental hemoglobin switches in humans. In the top panel, the sites and levels of various b-like globin molecules are shown with colors corresponding to the various developmental groups of genes shown below it in a model of the human b-globin locus (embryonic in blue, fetal in green, and adult in red). The bottom illustration also depicts the upstream enhancer of the b-globin locus, known as the locus control region (LCR), with its corresponding </w:t>
                            </w:r>
                            <w:r w:rsidR="002B721C" w:rsidRPr="00B328F7">
                              <w:rPr>
                                <w:rFonts w:ascii="Times New Roman" w:eastAsia="Times New Roman" w:hAnsi="Times New Roman" w:cs="Times New Roman"/>
                                <w:sz w:val="21"/>
                              </w:rPr>
                              <w:t>DNase</w:t>
                            </w:r>
                            <w:r w:rsidRPr="00B328F7">
                              <w:rPr>
                                <w:rFonts w:ascii="Times New Roman" w:eastAsia="Times New Roman" w:hAnsi="Times New Roman" w:cs="Times New Roman"/>
                                <w:sz w:val="21"/>
                              </w:rPr>
                              <w:t xml:space="preserve"> I hypersensitivity sites (HSs) and a downstream HS known as the 30 HS1.</w:t>
                            </w:r>
                            <w:r>
                              <w:rPr>
                                <w:rFonts w:ascii="Times New Roman" w:eastAsia="Times New Roman" w:hAnsi="Times New Roman" w:cs="Times New Roman"/>
                                <w:sz w:val="21"/>
                              </w:rPr>
                              <w:t xml:space="preserve"> (Reference 4)</w:t>
                            </w:r>
                          </w:p>
                          <w:p w14:paraId="562DE42A" w14:textId="77777777" w:rsidR="00B328F7" w:rsidRPr="00B328F7" w:rsidRDefault="00B328F7" w:rsidP="00B328F7">
                            <w:pPr>
                              <w:rPr>
                                <w:rFonts w:ascii="Times New Roman" w:eastAsia="Times New Roman" w:hAnsi="Times New Roman" w:cs="Times New Roman"/>
                                <w:sz w:val="21"/>
                              </w:rPr>
                            </w:pPr>
                          </w:p>
                          <w:p w14:paraId="350A1420" w14:textId="77777777" w:rsidR="00B328F7" w:rsidRPr="00B328F7" w:rsidRDefault="00B328F7">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99E189" id="_x0000_t202" coordsize="21600,21600" o:spt="202" path="m0,0l0,21600,21600,21600,21600,0xe">
                <v:stroke joinstyle="miter"/>
                <v:path gradientshapeok="t" o:connecttype="rect"/>
              </v:shapetype>
              <v:shape id="Text Box 8" o:spid="_x0000_s1026" type="#_x0000_t202" style="position:absolute;margin-left:165.85pt;margin-top:287.85pt;width:297pt;height:2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" filled="f" stroked="f">
                <v:textbox>
                  <w:txbxContent>
                    <w:p w14:paraId="255782DC" w14:textId="69908CFB" w:rsidR="00B328F7" w:rsidRDefault="00B328F7" w:rsidP="00B328F7">
                      <w:pPr>
                        <w:rPr>
                          <w:rFonts w:ascii="Times New Roman" w:eastAsia="Times New Roman" w:hAnsi="Times New Roman" w:cs="Times New Roman"/>
                          <w:sz w:val="21"/>
                        </w:rPr>
                      </w:pPr>
                      <w:r>
                        <w:rPr>
                          <w:rFonts w:ascii="Times New Roman" w:eastAsia="Times New Roman" w:hAnsi="Times New Roman" w:cs="Times New Roman"/>
                        </w:rPr>
                        <w:t>Fig 1 -</w:t>
                      </w:r>
                      <w:r w:rsidRPr="00B328F7">
                        <w:rPr>
                          <w:rFonts w:ascii="Times New Roman" w:eastAsia="Times New Roman" w:hAnsi="Times New Roman" w:cs="Times New Roman"/>
                          <w:sz w:val="21"/>
                        </w:rPr>
                        <w:t xml:space="preserve">The fetal-to-adult hemoglobin switch. This illustration depicts the normal timing of the developmental hemoglobin switches in humans. In the top panel, the sites and levels of various b-like globin molecules are shown with colors corresponding to the various developmental groups of genes shown below it in a model of the human b-globin locus (embryonic in blue, fetal in green, and adult in red). The bottom illustration also depicts the upstream enhancer of the b-globin locus, known as the locus control region (LCR), with its corresponding </w:t>
                      </w:r>
                      <w:r w:rsidR="002B721C" w:rsidRPr="00B328F7">
                        <w:rPr>
                          <w:rFonts w:ascii="Times New Roman" w:eastAsia="Times New Roman" w:hAnsi="Times New Roman" w:cs="Times New Roman"/>
                          <w:sz w:val="21"/>
                        </w:rPr>
                        <w:t>DNase</w:t>
                      </w:r>
                      <w:r w:rsidRPr="00B328F7">
                        <w:rPr>
                          <w:rFonts w:ascii="Times New Roman" w:eastAsia="Times New Roman" w:hAnsi="Times New Roman" w:cs="Times New Roman"/>
                          <w:sz w:val="21"/>
                        </w:rPr>
                        <w:t xml:space="preserve"> I hypersensitivity sites (HSs) and a downstream HS known as the 30 HS1.</w:t>
                      </w:r>
                      <w:r>
                        <w:rPr>
                          <w:rFonts w:ascii="Times New Roman" w:eastAsia="Times New Roman" w:hAnsi="Times New Roman" w:cs="Times New Roman"/>
                          <w:sz w:val="21"/>
                        </w:rPr>
                        <w:t xml:space="preserve"> (Reference 4)</w:t>
                      </w:r>
                    </w:p>
                    <w:p w14:paraId="562DE42A" w14:textId="77777777" w:rsidR="00B328F7" w:rsidRPr="00B328F7" w:rsidRDefault="00B328F7" w:rsidP="00B328F7">
                      <w:pPr>
                        <w:rPr>
                          <w:rFonts w:ascii="Times New Roman" w:eastAsia="Times New Roman" w:hAnsi="Times New Roman" w:cs="Times New Roman"/>
                          <w:sz w:val="21"/>
                        </w:rPr>
                      </w:pPr>
                    </w:p>
                    <w:p w14:paraId="350A1420" w14:textId="77777777" w:rsidR="00B328F7" w:rsidRPr="00B328F7" w:rsidRDefault="00B328F7">
                      <w:pPr>
                        <w:rPr>
                          <w:sz w:val="21"/>
                        </w:rPr>
                      </w:pPr>
                    </w:p>
                  </w:txbxContent>
                </v:textbox>
                <w10:wrap type="square"/>
              </v:shape>
            </w:pict>
          </mc:Fallback>
        </mc:AlternateContent>
      </w:r>
      <w:r w:rsidRPr="00B328F7">
        <w:rPr>
          <w:rStyle w:val="Emphasis"/>
          <w:rFonts w:ascii="Times New Roman" w:eastAsia="Times New Roman" w:hAnsi="Times New Roman" w:cs="Times New Roman"/>
          <w:i w:val="0"/>
          <w:noProof/>
          <w:color w:val="000000" w:themeColor="text1"/>
          <w:szCs w:val="28"/>
          <w:shd w:val="clear" w:color="auto" w:fill="FFFFFF"/>
          <w:vertAlign w:val="superscript"/>
        </w:rPr>
        <w:drawing>
          <wp:anchor distT="0" distB="0" distL="114300" distR="114300" simplePos="0" relativeHeight="251662336" behindDoc="0" locked="0" layoutInCell="1" allowOverlap="1" wp14:anchorId="1F689AB9" wp14:editId="677C5EAC">
            <wp:simplePos x="0" y="0"/>
            <wp:positionH relativeFrom="column">
              <wp:posOffset>2159000</wp:posOffset>
            </wp:positionH>
            <wp:positionV relativeFrom="paragraph">
              <wp:posOffset>1139825</wp:posOffset>
            </wp:positionV>
            <wp:extent cx="3503930" cy="2517775"/>
            <wp:effectExtent l="0" t="0" r="1270" b="0"/>
            <wp:wrapTight wrapText="bothSides">
              <wp:wrapPolygon edited="0">
                <wp:start x="0" y="0"/>
                <wp:lineTo x="0" y="21355"/>
                <wp:lineTo x="21451" y="21355"/>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03930" cy="2517775"/>
                    </a:xfrm>
                    <a:prstGeom prst="rect">
                      <a:avLst/>
                    </a:prstGeom>
                  </pic:spPr>
                </pic:pic>
              </a:graphicData>
            </a:graphic>
            <wp14:sizeRelH relativeFrom="page">
              <wp14:pctWidth>0</wp14:pctWidth>
            </wp14:sizeRelH>
            <wp14:sizeRelV relativeFrom="page">
              <wp14:pctHeight>0</wp14:pctHeight>
            </wp14:sizeRelV>
          </wp:anchor>
        </w:drawing>
      </w:r>
      <w:r w:rsidR="00C711BB" w:rsidRPr="00C711BB">
        <w:rPr>
          <w:rStyle w:val="Emphasis"/>
          <w:rFonts w:ascii="Times New Roman" w:eastAsia="Times New Roman" w:hAnsi="Times New Roman" w:cs="Times New Roman"/>
          <w:i w:val="0"/>
          <w:color w:val="000000" w:themeColor="text1"/>
          <w:shd w:val="clear" w:color="auto" w:fill="FFFFFF"/>
        </w:rPr>
        <w:t>As such, humans who have inherited the mutation affecting the production of beta globin begin exhibiting symptoms around 4-5 months of age when the fetal hemoglobin (gamma globin) is replaced by the sickled hemoglobin, thus making other cells sickle as well.</w:t>
      </w:r>
      <w:r w:rsidR="00C711BB" w:rsidRPr="00C711BB">
        <w:rPr>
          <w:rStyle w:val="Emphasis"/>
          <w:rFonts w:ascii="Times New Roman" w:eastAsia="Times New Roman" w:hAnsi="Times New Roman" w:cs="Times New Roman"/>
          <w:i w:val="0"/>
          <w:color w:val="000000" w:themeColor="text1"/>
          <w:shd w:val="clear" w:color="auto" w:fill="FFFFFF"/>
          <w:vertAlign w:val="superscript"/>
        </w:rPr>
        <w:t>5</w:t>
      </w:r>
      <w:r w:rsidR="00C711BB" w:rsidRPr="00C711BB">
        <w:rPr>
          <w:rFonts w:ascii="Times New Roman" w:eastAsia="Times New Roman" w:hAnsi="Times New Roman" w:cs="Times New Roman"/>
          <w:color w:val="000000" w:themeColor="text1"/>
        </w:rPr>
        <w:t xml:space="preserve"> Although the fetal hemoglobin that protects the red blood cells from sickling is not present when it is switched to adult hemoglobin, a condition named </w:t>
      </w:r>
      <w:r w:rsidR="00C711BB" w:rsidRPr="00C711BB">
        <w:rPr>
          <w:rFonts w:ascii="Times New Roman" w:eastAsia="Times New Roman" w:hAnsi="Times New Roman" w:cs="Times New Roman"/>
          <w:color w:val="000000" w:themeColor="text1"/>
          <w:szCs w:val="21"/>
          <w:shd w:val="clear" w:color="auto" w:fill="FFFFFF"/>
        </w:rPr>
        <w:t xml:space="preserve">hereditary persistence of fetal hemoglobin delivers promising news about the significance of </w:t>
      </w:r>
      <w:r w:rsidR="00C711BB" w:rsidRPr="00C711BB">
        <w:rPr>
          <w:rFonts w:ascii="Times New Roman" w:eastAsia="Times New Roman" w:hAnsi="Times New Roman" w:cs="Times New Roman"/>
          <w:color w:val="000000" w:themeColor="text1"/>
          <w:szCs w:val="28"/>
          <w:shd w:val="clear" w:color="auto" w:fill="FFFFFF"/>
        </w:rPr>
        <w:t>γ-globin in reducing symptoms of sickle cell anemia.</w:t>
      </w:r>
      <w:r w:rsidR="00C711BB" w:rsidRPr="00C711BB">
        <w:rPr>
          <w:rFonts w:ascii="Times New Roman" w:eastAsia="Times New Roman" w:hAnsi="Times New Roman" w:cs="Times New Roman"/>
          <w:color w:val="000000" w:themeColor="text1"/>
          <w:szCs w:val="28"/>
          <w:shd w:val="clear" w:color="auto" w:fill="FFFFFF"/>
          <w:vertAlign w:val="superscript"/>
        </w:rPr>
        <w:t>6</w:t>
      </w:r>
      <w:r w:rsidR="00C711BB" w:rsidRPr="00C711BB">
        <w:rPr>
          <w:rFonts w:ascii="Times New Roman" w:eastAsia="Times New Roman" w:hAnsi="Times New Roman" w:cs="Times New Roman"/>
          <w:color w:val="000000" w:themeColor="text1"/>
          <w:szCs w:val="28"/>
          <w:shd w:val="clear" w:color="auto" w:fill="FFFFFF"/>
        </w:rPr>
        <w:t xml:space="preserve"> Hereditary persistence of fetal hemoglobin is categorized by the maintenance of fetal hemoglobin levels well beyond the point in which hemoglobin is switched from fetal to adult (</w:t>
      </w:r>
      <w:r w:rsidR="00C711BB" w:rsidRPr="00C711BB">
        <w:rPr>
          <w:rFonts w:ascii="Times New Roman" w:eastAsia="Times New Roman" w:hAnsi="Times New Roman" w:cs="Times New Roman"/>
          <w:i/>
          <w:color w:val="000000" w:themeColor="text1"/>
          <w:szCs w:val="28"/>
          <w:shd w:val="clear" w:color="auto" w:fill="FFFFFF"/>
        </w:rPr>
        <w:t xml:space="preserve">γ- to </w:t>
      </w:r>
      <w:r w:rsidR="00C711BB" w:rsidRPr="00C711BB">
        <w:rPr>
          <w:rStyle w:val="Emphasis"/>
          <w:rFonts w:ascii="Times New Roman" w:eastAsia="Times New Roman" w:hAnsi="Times New Roman" w:cs="Times New Roman"/>
          <w:i w:val="0"/>
          <w:color w:val="000000" w:themeColor="text1"/>
          <w:szCs w:val="28"/>
          <w:shd w:val="clear" w:color="auto" w:fill="FFFFFF"/>
        </w:rPr>
        <w:t xml:space="preserve">β-globin). Some factors to explain this persistence include mutations in the β-globin gene cluster or changes in the </w:t>
      </w:r>
      <w:r w:rsidR="00C711BB" w:rsidRPr="00C711BB">
        <w:rPr>
          <w:rFonts w:ascii="Times New Roman" w:eastAsia="Times New Roman" w:hAnsi="Times New Roman" w:cs="Times New Roman"/>
          <w:i/>
          <w:color w:val="000000" w:themeColor="text1"/>
          <w:szCs w:val="28"/>
          <w:shd w:val="clear" w:color="auto" w:fill="FFFFFF"/>
        </w:rPr>
        <w:t xml:space="preserve">γ </w:t>
      </w:r>
      <w:r w:rsidR="00C711BB" w:rsidRPr="00C711BB">
        <w:rPr>
          <w:rFonts w:ascii="Times New Roman" w:eastAsia="Times New Roman" w:hAnsi="Times New Roman" w:cs="Times New Roman"/>
          <w:color w:val="000000" w:themeColor="text1"/>
          <w:szCs w:val="28"/>
          <w:shd w:val="clear" w:color="auto" w:fill="FFFFFF"/>
        </w:rPr>
        <w:t>gene promoter region.</w:t>
      </w:r>
      <w:r w:rsidR="00C711BB" w:rsidRPr="00C711BB">
        <w:rPr>
          <w:rFonts w:ascii="Times New Roman" w:eastAsia="Times New Roman" w:hAnsi="Times New Roman" w:cs="Times New Roman"/>
          <w:color w:val="000000" w:themeColor="text1"/>
          <w:szCs w:val="28"/>
          <w:shd w:val="clear" w:color="auto" w:fill="FFFFFF"/>
          <w:vertAlign w:val="superscript"/>
        </w:rPr>
        <w:t>7</w:t>
      </w:r>
      <w:r w:rsidR="00C711BB" w:rsidRPr="00C711BB">
        <w:rPr>
          <w:rFonts w:ascii="Times New Roman" w:eastAsia="Times New Roman" w:hAnsi="Times New Roman" w:cs="Times New Roman"/>
          <w:color w:val="000000" w:themeColor="text1"/>
          <w:szCs w:val="28"/>
          <w:shd w:val="clear" w:color="auto" w:fill="FFFFFF"/>
        </w:rPr>
        <w:t xml:space="preserve"> Those diagnosed with hereditary persistence of fetal hemoglobin, in addition to sickle cell disease, exhibit reduced symptoms of the disease due to the increased expression of fetal hemoglobin in the form of the γ-globin. Hereditary persistence of fetal hemoglobin can be caused by two classes of mutations: one involving deletions at the beta-globin cluster and other involving point mutations in the promoters of the gamma-globin genes. </w:t>
      </w:r>
      <w:proofErr w:type="gramStart"/>
      <w:r w:rsidR="00C711BB" w:rsidRPr="00C711BB">
        <w:rPr>
          <w:rFonts w:ascii="Times New Roman" w:eastAsia="Times New Roman" w:hAnsi="Times New Roman" w:cs="Times New Roman"/>
          <w:color w:val="000000" w:themeColor="text1"/>
          <w:szCs w:val="28"/>
          <w:shd w:val="clear" w:color="auto" w:fill="FFFFFF"/>
        </w:rPr>
        <w:t>However</w:t>
      </w:r>
      <w:proofErr w:type="gramEnd"/>
      <w:r w:rsidR="00C711BB" w:rsidRPr="00C711BB">
        <w:rPr>
          <w:rFonts w:ascii="Times New Roman" w:eastAsia="Times New Roman" w:hAnsi="Times New Roman" w:cs="Times New Roman"/>
          <w:color w:val="000000" w:themeColor="text1"/>
          <w:szCs w:val="28"/>
          <w:shd w:val="clear" w:color="auto" w:fill="FFFFFF"/>
        </w:rPr>
        <w:t xml:space="preserve"> some forms of non</w:t>
      </w:r>
      <w:r w:rsidR="00C64366">
        <w:rPr>
          <w:rFonts w:ascii="Times New Roman" w:eastAsia="Times New Roman" w:hAnsi="Times New Roman" w:cs="Times New Roman"/>
          <w:color w:val="000000" w:themeColor="text1"/>
          <w:szCs w:val="28"/>
          <w:shd w:val="clear" w:color="auto" w:fill="FFFFFF"/>
        </w:rPr>
        <w:t>-</w:t>
      </w:r>
      <w:r w:rsidR="00C711BB" w:rsidRPr="00C711BB">
        <w:rPr>
          <w:rFonts w:ascii="Times New Roman" w:eastAsia="Times New Roman" w:hAnsi="Times New Roman" w:cs="Times New Roman"/>
          <w:color w:val="000000" w:themeColor="text1"/>
          <w:szCs w:val="28"/>
          <w:shd w:val="clear" w:color="auto" w:fill="FFFFFF"/>
        </w:rPr>
        <w:t xml:space="preserve">deletional HPFH suggests that the promoters of gamma globin genes interact with factors that repress/silence expression so that even though gamma globin is present, it is being modulated simultaneously with the adult beta globin. </w:t>
      </w:r>
    </w:p>
    <w:p w14:paraId="2A1462E8" w14:textId="77777777" w:rsidR="00C711BB" w:rsidRPr="00B03C73" w:rsidRDefault="00C711BB" w:rsidP="00C711BB">
      <w:pPr>
        <w:rPr>
          <w:rFonts w:ascii="Times New Roman" w:eastAsia="Times New Roman" w:hAnsi="Times New Roman" w:cs="Times New Roman"/>
          <w:sz w:val="28"/>
          <w:szCs w:val="28"/>
        </w:rPr>
      </w:pPr>
    </w:p>
    <w:p w14:paraId="3D9D97EE"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28"/>
        </w:rPr>
        <w:t xml:space="preserve">As humans undergo a developmental switch from fetal </w:t>
      </w:r>
      <w:r w:rsidRPr="00C711BB">
        <w:rPr>
          <w:rFonts w:ascii="Times New Roman" w:eastAsia="Times New Roman" w:hAnsi="Times New Roman" w:cs="Times New Roman"/>
          <w:color w:val="000000" w:themeColor="text1"/>
          <w:szCs w:val="32"/>
          <w:shd w:val="clear" w:color="auto" w:fill="FFFFFF"/>
        </w:rPr>
        <w:t>γ-globin to adult β</w:t>
      </w:r>
      <w:r w:rsidRPr="00C711BB">
        <w:rPr>
          <w:rFonts w:ascii="Times New Roman" w:hAnsi="Times New Roman" w:cs="Times New Roman"/>
          <w:color w:val="000000" w:themeColor="text1"/>
          <w:szCs w:val="32"/>
        </w:rPr>
        <w:t xml:space="preserve">-globin expression around the time of birth, during the switch </w:t>
      </w:r>
      <w:r w:rsidRPr="00C711BB">
        <w:rPr>
          <w:rFonts w:ascii="Times New Roman" w:eastAsia="Times New Roman" w:hAnsi="Times New Roman" w:cs="Times New Roman"/>
          <w:color w:val="000000" w:themeColor="text1"/>
          <w:szCs w:val="32"/>
          <w:shd w:val="clear" w:color="auto" w:fill="FFFFFF"/>
        </w:rPr>
        <w:t>γ-globin gets silenced as the β</w:t>
      </w:r>
      <w:r w:rsidRPr="00C711BB">
        <w:rPr>
          <w:rFonts w:ascii="Times New Roman" w:hAnsi="Times New Roman" w:cs="Times New Roman"/>
          <w:color w:val="000000" w:themeColor="text1"/>
          <w:szCs w:val="32"/>
        </w:rPr>
        <w:t>-globin gene is expressed.</w:t>
      </w:r>
      <w:r w:rsidRPr="00C711BB">
        <w:rPr>
          <w:rFonts w:ascii="Times New Roman" w:hAnsi="Times New Roman" w:cs="Times New Roman"/>
          <w:color w:val="000000" w:themeColor="text1"/>
          <w:szCs w:val="32"/>
          <w:vertAlign w:val="superscript"/>
        </w:rPr>
        <w:t>4</w:t>
      </w:r>
      <w:r w:rsidRPr="00C711BB">
        <w:rPr>
          <w:rFonts w:ascii="Times New Roman" w:hAnsi="Times New Roman" w:cs="Times New Roman"/>
          <w:color w:val="000000" w:themeColor="text1"/>
          <w:szCs w:val="32"/>
        </w:rPr>
        <w:t xml:space="preserve"> This knowledge combined with observations of reduced SCD symptoms in patients diagnosed with hereditary persistence of fetal hemoglobin, scientists are looking towards the possible of reactivating </w:t>
      </w:r>
      <w:r w:rsidRPr="00C711BB">
        <w:rPr>
          <w:rFonts w:ascii="Times New Roman" w:eastAsia="Times New Roman" w:hAnsi="Times New Roman" w:cs="Times New Roman"/>
          <w:color w:val="000000" w:themeColor="text1"/>
          <w:szCs w:val="32"/>
          <w:shd w:val="clear" w:color="auto" w:fill="FFFFFF"/>
        </w:rPr>
        <w:t xml:space="preserve">γ-globin gene expression in adult patients. </w:t>
      </w:r>
    </w:p>
    <w:p w14:paraId="61DA60F2"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p>
    <w:p w14:paraId="4F211778" w14:textId="6287992E" w:rsidR="00B328F7"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28"/>
        </w:rPr>
        <w:t xml:space="preserve">In order to achieve this reactivation, it is necessary to identify factors that silence </w:t>
      </w:r>
      <w:r w:rsidRPr="00C711BB">
        <w:rPr>
          <w:rFonts w:ascii="Times New Roman" w:eastAsia="Times New Roman" w:hAnsi="Times New Roman" w:cs="Times New Roman"/>
          <w:color w:val="000000" w:themeColor="text1"/>
          <w:szCs w:val="32"/>
          <w:shd w:val="clear" w:color="auto" w:fill="FFFFFF"/>
        </w:rPr>
        <w:t>γ-globin. Two known γ-globin silencing factors are BCL11A &amp; LRF/ZBTB7A which are transcription factors that mediate silencing of γ-globin by binding in various locations.</w:t>
      </w:r>
      <w:r w:rsidRPr="00C711BB">
        <w:rPr>
          <w:rFonts w:ascii="Times New Roman" w:eastAsia="Times New Roman" w:hAnsi="Times New Roman" w:cs="Times New Roman"/>
          <w:color w:val="000000" w:themeColor="text1"/>
          <w:szCs w:val="32"/>
          <w:shd w:val="clear" w:color="auto" w:fill="FFFFFF"/>
          <w:vertAlign w:val="superscript"/>
        </w:rPr>
        <w:t>8</w:t>
      </w:r>
      <w:r w:rsidRPr="00C711BB">
        <w:rPr>
          <w:rFonts w:ascii="Times New Roman" w:eastAsia="Times New Roman" w:hAnsi="Times New Roman" w:cs="Times New Roman"/>
          <w:color w:val="000000" w:themeColor="text1"/>
          <w:szCs w:val="32"/>
          <w:shd w:val="clear" w:color="auto" w:fill="FFFFFF"/>
        </w:rPr>
        <w:t xml:space="preserve"> </w:t>
      </w:r>
    </w:p>
    <w:p w14:paraId="438E2591" w14:textId="77777777" w:rsidR="00B328F7" w:rsidRDefault="00B328F7" w:rsidP="00C711BB">
      <w:pPr>
        <w:spacing w:line="276" w:lineRule="auto"/>
        <w:rPr>
          <w:rFonts w:ascii="Times New Roman" w:eastAsia="Times New Roman" w:hAnsi="Times New Roman" w:cs="Times New Roman"/>
          <w:color w:val="000000" w:themeColor="text1"/>
          <w:szCs w:val="32"/>
          <w:shd w:val="clear" w:color="auto" w:fill="FFFFFF"/>
        </w:rPr>
      </w:pPr>
    </w:p>
    <w:p w14:paraId="11C61BCD" w14:textId="3C2E167A"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32"/>
          <w:shd w:val="clear" w:color="auto" w:fill="FFFFFF"/>
        </w:rPr>
        <w:t xml:space="preserve">BCL11A, a far more studied transcription factor, works to repress gamma globin by binding to the upstream locus control region (LCR) and intergenic regions between the fetal (γ) and adult </w:t>
      </w:r>
      <w:r w:rsidRPr="00C711BB">
        <w:rPr>
          <w:rFonts w:ascii="Times New Roman" w:eastAsia="Times New Roman" w:hAnsi="Times New Roman" w:cs="Times New Roman"/>
          <w:color w:val="000000" w:themeColor="text1"/>
          <w:szCs w:val="28"/>
          <w:shd w:val="clear" w:color="auto" w:fill="FFFFFF"/>
        </w:rPr>
        <w:t>(δ and β) globin genes.</w:t>
      </w:r>
      <w:r w:rsidRPr="00C711BB">
        <w:rPr>
          <w:rFonts w:ascii="Times New Roman" w:eastAsia="Times New Roman" w:hAnsi="Times New Roman" w:cs="Times New Roman"/>
          <w:color w:val="000000" w:themeColor="text1"/>
          <w:szCs w:val="28"/>
          <w:shd w:val="clear" w:color="auto" w:fill="FFFFFF"/>
          <w:vertAlign w:val="superscript"/>
        </w:rPr>
        <w:t>9</w:t>
      </w:r>
      <w:r w:rsidRPr="00C711BB">
        <w:rPr>
          <w:rFonts w:ascii="Times New Roman" w:eastAsia="Times New Roman" w:hAnsi="Times New Roman" w:cs="Times New Roman"/>
          <w:color w:val="000000" w:themeColor="text1"/>
          <w:szCs w:val="28"/>
          <w:shd w:val="clear" w:color="auto" w:fill="FFFFFF"/>
        </w:rPr>
        <w:t xml:space="preserve"> LRF/ZBTB7A however, is a transcription factor that has not been studied as heavily and has been known to work independently from BCL11A in silencing </w:t>
      </w:r>
      <w:r w:rsidRPr="00C711BB">
        <w:rPr>
          <w:rFonts w:ascii="Times New Roman" w:eastAsia="Times New Roman" w:hAnsi="Times New Roman" w:cs="Times New Roman"/>
          <w:color w:val="000000" w:themeColor="text1"/>
          <w:szCs w:val="32"/>
          <w:shd w:val="clear" w:color="auto" w:fill="FFFFFF"/>
        </w:rPr>
        <w:t>γ-globin.</w:t>
      </w:r>
      <w:r w:rsidRPr="00C711BB">
        <w:rPr>
          <w:rFonts w:ascii="Times New Roman" w:eastAsia="Times New Roman" w:hAnsi="Times New Roman" w:cs="Times New Roman"/>
          <w:color w:val="000000" w:themeColor="text1"/>
          <w:szCs w:val="32"/>
          <w:shd w:val="clear" w:color="auto" w:fill="FFFFFF"/>
          <w:vertAlign w:val="superscript"/>
        </w:rPr>
        <w:t>10</w:t>
      </w:r>
      <w:r w:rsidRPr="00C711BB">
        <w:rPr>
          <w:rFonts w:ascii="Times New Roman" w:eastAsia="Times New Roman" w:hAnsi="Times New Roman" w:cs="Times New Roman"/>
          <w:color w:val="000000" w:themeColor="text1"/>
          <w:szCs w:val="32"/>
          <w:shd w:val="clear" w:color="auto" w:fill="FFFFFF"/>
        </w:rPr>
        <w:t xml:space="preserve"> LRF/ZBTB7A has been known to do this by binding to DNA and recruiting a special NuRD repressor complex through its N terminal BTB domain.</w:t>
      </w:r>
      <w:r w:rsidRPr="00C711BB">
        <w:rPr>
          <w:rFonts w:ascii="Times New Roman" w:eastAsia="Times New Roman" w:hAnsi="Times New Roman" w:cs="Times New Roman"/>
          <w:color w:val="000000" w:themeColor="text1"/>
          <w:szCs w:val="32"/>
          <w:shd w:val="clear" w:color="auto" w:fill="FFFFFF"/>
          <w:vertAlign w:val="superscript"/>
        </w:rPr>
        <w:t>11</w:t>
      </w:r>
      <w:r w:rsidRPr="00C711BB">
        <w:rPr>
          <w:rFonts w:ascii="Times New Roman" w:eastAsia="Times New Roman" w:hAnsi="Times New Roman" w:cs="Times New Roman"/>
          <w:color w:val="000000" w:themeColor="text1"/>
          <w:szCs w:val="32"/>
          <w:shd w:val="clear" w:color="auto" w:fill="FFFFFF"/>
        </w:rPr>
        <w:t xml:space="preserve"> This NuRD complex causes chromatin to be tightly wound which results in less transcription of γ-globin occurring.</w:t>
      </w:r>
    </w:p>
    <w:p w14:paraId="39E699D4"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p>
    <w:p w14:paraId="66DE89CD" w14:textId="2E88E617" w:rsidR="00B106CF" w:rsidRDefault="00B106CF" w:rsidP="004B1171">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noProof/>
          <w:color w:val="000000" w:themeColor="text1"/>
          <w:szCs w:val="32"/>
        </w:rPr>
        <mc:AlternateContent>
          <mc:Choice Requires="wps">
            <w:drawing>
              <wp:anchor distT="0" distB="0" distL="114300" distR="114300" simplePos="0" relativeHeight="251665408" behindDoc="0" locked="0" layoutInCell="1" allowOverlap="1" wp14:anchorId="4E0224D6" wp14:editId="73F692B2">
                <wp:simplePos x="0" y="0"/>
                <wp:positionH relativeFrom="column">
                  <wp:posOffset>-62865</wp:posOffset>
                </wp:positionH>
                <wp:positionV relativeFrom="paragraph">
                  <wp:posOffset>3070860</wp:posOffset>
                </wp:positionV>
                <wp:extent cx="60579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60579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ED6BF0" w14:textId="10D09FA3" w:rsidR="00B106CF" w:rsidRPr="00B106CF" w:rsidRDefault="00B106CF">
                            <w:pPr>
                              <w:rPr>
                                <w:sz w:val="20"/>
                                <w:szCs w:val="20"/>
                              </w:rPr>
                            </w:pPr>
                            <w:r>
                              <w:rPr>
                                <w:i/>
                                <w:sz w:val="20"/>
                                <w:szCs w:val="20"/>
                              </w:rPr>
                              <w:t xml:space="preserve">Fig. 2 - </w:t>
                            </w:r>
                            <w:r w:rsidRPr="00B106CF">
                              <w:rPr>
                                <w:i/>
                                <w:sz w:val="20"/>
                                <w:szCs w:val="20"/>
                              </w:rPr>
                              <w:t xml:space="preserve">KLF1 enrichment </w:t>
                            </w:r>
                            <w:r>
                              <w:rPr>
                                <w:i/>
                                <w:sz w:val="20"/>
                                <w:szCs w:val="20"/>
                              </w:rPr>
                              <w:t xml:space="preserve">peaks </w:t>
                            </w:r>
                            <w:r w:rsidRPr="00B106CF">
                              <w:rPr>
                                <w:i/>
                                <w:sz w:val="20"/>
                                <w:szCs w:val="20"/>
                              </w:rPr>
                              <w:t>across the gene body of ZBTB7A</w:t>
                            </w:r>
                            <w:r>
                              <w:rPr>
                                <w:i/>
                                <w:sz w:val="20"/>
                                <w:szCs w:val="20"/>
                              </w:rPr>
                              <w:t xml:space="preserve">, with a high number of peaks at the ZBTB7A promoter, a result of </w:t>
                            </w:r>
                            <w:proofErr w:type="spellStart"/>
                            <w:r>
                              <w:rPr>
                                <w:i/>
                                <w:sz w:val="20"/>
                                <w:szCs w:val="20"/>
                              </w:rPr>
                              <w:t>chIP</w:t>
                            </w:r>
                            <w:proofErr w:type="spellEnd"/>
                            <w:r>
                              <w:rPr>
                                <w:i/>
                                <w:sz w:val="20"/>
                                <w:szCs w:val="20"/>
                              </w:rPr>
                              <w:t>-Sequencing which indicates that there is some binding of KLF1 to the ZBTB7A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0224D6" id="_x0000_t202" coordsize="21600,21600" o:spt="202" path="m0,0l0,21600,21600,21600,21600,0xe">
                <v:stroke joinstyle="miter"/>
                <v:path gradientshapeok="t" o:connecttype="rect"/>
              </v:shapetype>
              <v:shape id="Text Box 7" o:spid="_x0000_s1027" type="#_x0000_t202" style="position:absolute;margin-left:-4.95pt;margin-top:241.8pt;width:477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" filled="f" stroked="f">
                <v:textbox>
                  <w:txbxContent>
                    <w:p w14:paraId="0EED6BF0" w14:textId="10D09FA3" w:rsidR="00B106CF" w:rsidRPr="00B106CF" w:rsidRDefault="00B106CF">
                      <w:pPr>
                        <w:rPr>
                          <w:sz w:val="20"/>
                          <w:szCs w:val="20"/>
                        </w:rPr>
                      </w:pPr>
                      <w:r>
                        <w:rPr>
                          <w:i/>
                          <w:sz w:val="20"/>
                          <w:szCs w:val="20"/>
                        </w:rPr>
                        <w:t xml:space="preserve">Fig. 2 - </w:t>
                      </w:r>
                      <w:r w:rsidRPr="00B106CF">
                        <w:rPr>
                          <w:i/>
                          <w:sz w:val="20"/>
                          <w:szCs w:val="20"/>
                        </w:rPr>
                        <w:t xml:space="preserve">KLF1 enrichment </w:t>
                      </w:r>
                      <w:r>
                        <w:rPr>
                          <w:i/>
                          <w:sz w:val="20"/>
                          <w:szCs w:val="20"/>
                        </w:rPr>
                        <w:t xml:space="preserve">peaks </w:t>
                      </w:r>
                      <w:r w:rsidRPr="00B106CF">
                        <w:rPr>
                          <w:i/>
                          <w:sz w:val="20"/>
                          <w:szCs w:val="20"/>
                        </w:rPr>
                        <w:t>across the gene body of ZBTB7A</w:t>
                      </w:r>
                      <w:r>
                        <w:rPr>
                          <w:i/>
                          <w:sz w:val="20"/>
                          <w:szCs w:val="20"/>
                        </w:rPr>
                        <w:t xml:space="preserve">, with a high number of peaks at the ZBTB7A promoter, a result of </w:t>
                      </w:r>
                      <w:proofErr w:type="spellStart"/>
                      <w:r>
                        <w:rPr>
                          <w:i/>
                          <w:sz w:val="20"/>
                          <w:szCs w:val="20"/>
                        </w:rPr>
                        <w:t>chIP</w:t>
                      </w:r>
                      <w:proofErr w:type="spellEnd"/>
                      <w:r>
                        <w:rPr>
                          <w:i/>
                          <w:sz w:val="20"/>
                          <w:szCs w:val="20"/>
                        </w:rPr>
                        <w:t>-Sequencing which indicates that there is some binding of KLF1 to the ZBTB7A promoter.</w:t>
                      </w:r>
                    </w:p>
                  </w:txbxContent>
                </v:textbox>
                <w10:wrap type="square"/>
              </v:shape>
            </w:pict>
          </mc:Fallback>
        </mc:AlternateContent>
      </w:r>
      <w:r w:rsidRPr="00B106CF">
        <w:rPr>
          <w:rFonts w:ascii="Times New Roman" w:eastAsia="Times New Roman" w:hAnsi="Times New Roman" w:cs="Times New Roman"/>
          <w:color w:val="000000" w:themeColor="text1"/>
          <w:szCs w:val="32"/>
          <w:shd w:val="clear" w:color="auto" w:fill="FFFFFF"/>
        </w:rPr>
        <w:drawing>
          <wp:anchor distT="0" distB="0" distL="114300" distR="114300" simplePos="0" relativeHeight="251664384" behindDoc="0" locked="0" layoutInCell="1" allowOverlap="1" wp14:anchorId="0A590567" wp14:editId="6A85B293">
            <wp:simplePos x="0" y="0"/>
            <wp:positionH relativeFrom="column">
              <wp:posOffset>48895</wp:posOffset>
            </wp:positionH>
            <wp:positionV relativeFrom="paragraph">
              <wp:posOffset>1470025</wp:posOffset>
            </wp:positionV>
            <wp:extent cx="5715635" cy="1557655"/>
            <wp:effectExtent l="0" t="0" r="0" b="0"/>
            <wp:wrapTight wrapText="bothSides">
              <wp:wrapPolygon edited="0">
                <wp:start x="0" y="0"/>
                <wp:lineTo x="0" y="21133"/>
                <wp:lineTo x="21502" y="21133"/>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5635" cy="1557655"/>
                    </a:xfrm>
                    <a:prstGeom prst="rect">
                      <a:avLst/>
                    </a:prstGeom>
                  </pic:spPr>
                </pic:pic>
              </a:graphicData>
            </a:graphic>
            <wp14:sizeRelH relativeFrom="page">
              <wp14:pctWidth>0</wp14:pctWidth>
            </wp14:sizeRelH>
            <wp14:sizeRelV relativeFrom="page">
              <wp14:pctHeight>0</wp14:pctHeight>
            </wp14:sizeRelV>
          </wp:anchor>
        </w:drawing>
      </w:r>
      <w:r w:rsidR="00C711BB" w:rsidRPr="00C711BB">
        <w:rPr>
          <w:rFonts w:ascii="Times New Roman" w:eastAsia="Times New Roman" w:hAnsi="Times New Roman" w:cs="Times New Roman"/>
          <w:color w:val="000000" w:themeColor="text1"/>
          <w:szCs w:val="32"/>
          <w:shd w:val="clear" w:color="auto" w:fill="FFFFFF"/>
        </w:rPr>
        <w:t xml:space="preserve">Regulating these silencing transcription factors, especially the lesser known LRF/ZBTB7A can provide an outlet to useful therapies by manipulating the levels of expression of these factors in erythroid cells. </w:t>
      </w:r>
      <w:r w:rsidR="00C711BB" w:rsidRPr="00C711BB">
        <w:rPr>
          <w:rFonts w:ascii="Times New Roman" w:eastAsia="Times New Roman" w:hAnsi="Times New Roman" w:cs="Times New Roman"/>
          <w:color w:val="000000" w:themeColor="text1"/>
        </w:rPr>
        <w:t xml:space="preserve">The key to one form of regulating the expression of known repressors of </w:t>
      </w:r>
      <w:r w:rsidR="00C711BB" w:rsidRPr="00C711BB">
        <w:rPr>
          <w:rFonts w:ascii="Times New Roman" w:eastAsia="Times New Roman" w:hAnsi="Times New Roman" w:cs="Times New Roman"/>
          <w:color w:val="000000" w:themeColor="text1"/>
          <w:szCs w:val="32"/>
          <w:shd w:val="clear" w:color="auto" w:fill="FFFFFF"/>
        </w:rPr>
        <w:t>γ-globin may lie with a Kr</w:t>
      </w:r>
      <w:r w:rsidR="00C711BB" w:rsidRPr="00C711BB">
        <w:rPr>
          <w:rFonts w:ascii="Times New Roman" w:eastAsia="Times New Roman" w:hAnsi="Times New Roman" w:cs="Times New Roman"/>
          <w:color w:val="000000" w:themeColor="text1"/>
          <w:szCs w:val="28"/>
        </w:rPr>
        <w:t>üppel-Like Transcription Factor named KLF1</w:t>
      </w:r>
      <w:r w:rsidR="00B328F7">
        <w:rPr>
          <w:rFonts w:ascii="Times New Roman" w:eastAsia="Times New Roman" w:hAnsi="Times New Roman" w:cs="Times New Roman"/>
          <w:color w:val="000000" w:themeColor="text1"/>
          <w:szCs w:val="28"/>
        </w:rPr>
        <w:t xml:space="preserve"> which increases </w:t>
      </w:r>
      <w:r w:rsidR="00B328F7" w:rsidRPr="00C711BB">
        <w:rPr>
          <w:rFonts w:ascii="Times New Roman" w:eastAsia="Times New Roman" w:hAnsi="Times New Roman" w:cs="Times New Roman"/>
          <w:color w:val="000000" w:themeColor="text1"/>
          <w:szCs w:val="32"/>
          <w:shd w:val="clear" w:color="auto" w:fill="FFFFFF"/>
        </w:rPr>
        <w:t>γ-globin</w:t>
      </w:r>
      <w:r w:rsidR="00B328F7">
        <w:rPr>
          <w:rFonts w:ascii="Times New Roman" w:eastAsia="Times New Roman" w:hAnsi="Times New Roman" w:cs="Times New Roman"/>
          <w:color w:val="000000" w:themeColor="text1"/>
          <w:szCs w:val="32"/>
          <w:shd w:val="clear" w:color="auto" w:fill="FFFFFF"/>
        </w:rPr>
        <w:t xml:space="preserve"> expression as its function is decreased. </w:t>
      </w:r>
      <w:r w:rsidR="00A80873">
        <w:rPr>
          <w:rFonts w:ascii="Times New Roman" w:eastAsia="Times New Roman" w:hAnsi="Times New Roman" w:cs="Times New Roman"/>
          <w:color w:val="000000" w:themeColor="text1"/>
          <w:szCs w:val="32"/>
          <w:shd w:val="clear" w:color="auto" w:fill="FFFFFF"/>
        </w:rPr>
        <w:t xml:space="preserve">In </w:t>
      </w:r>
      <w:r w:rsidR="009C70F3">
        <w:rPr>
          <w:rFonts w:ascii="Times New Roman" w:eastAsia="Times New Roman" w:hAnsi="Times New Roman" w:cs="Times New Roman"/>
          <w:color w:val="000000" w:themeColor="text1"/>
          <w:szCs w:val="32"/>
          <w:shd w:val="clear" w:color="auto" w:fill="FFFFFF"/>
        </w:rPr>
        <w:t>Norton et al (2017)</w:t>
      </w:r>
      <w:r w:rsidR="009C70F3">
        <w:rPr>
          <w:rFonts w:ascii="Times New Roman" w:eastAsia="Times New Roman" w:hAnsi="Times New Roman" w:cs="Times New Roman"/>
          <w:color w:val="000000" w:themeColor="text1"/>
          <w:szCs w:val="32"/>
          <w:shd w:val="clear" w:color="auto" w:fill="FFFFFF"/>
          <w:vertAlign w:val="superscript"/>
        </w:rPr>
        <w:t>14</w:t>
      </w:r>
      <w:r w:rsidR="009C70F3">
        <w:rPr>
          <w:rFonts w:ascii="Times New Roman" w:eastAsia="Times New Roman" w:hAnsi="Times New Roman" w:cs="Times New Roman"/>
          <w:color w:val="000000" w:themeColor="text1"/>
          <w:szCs w:val="32"/>
          <w:shd w:val="clear" w:color="auto" w:fill="FFFFFF"/>
        </w:rPr>
        <w:t xml:space="preserve">, the scientists looked towards determining whether KLF1 drives the expression of LRF/ZBTB7A in erythroid cells. They were able to accomplish this with the use of the experimental technique, </w:t>
      </w:r>
      <w:proofErr w:type="spellStart"/>
      <w:r w:rsidR="009C70F3">
        <w:rPr>
          <w:rFonts w:ascii="Times New Roman" w:eastAsia="Times New Roman" w:hAnsi="Times New Roman" w:cs="Times New Roman"/>
          <w:i/>
          <w:color w:val="000000" w:themeColor="text1"/>
          <w:szCs w:val="32"/>
          <w:shd w:val="clear" w:color="auto" w:fill="FFFFFF"/>
        </w:rPr>
        <w:t>chIP</w:t>
      </w:r>
      <w:proofErr w:type="spellEnd"/>
      <w:r w:rsidR="009C70F3">
        <w:rPr>
          <w:rFonts w:ascii="Times New Roman" w:eastAsia="Times New Roman" w:hAnsi="Times New Roman" w:cs="Times New Roman"/>
          <w:i/>
          <w:color w:val="000000" w:themeColor="text1"/>
          <w:szCs w:val="32"/>
          <w:shd w:val="clear" w:color="auto" w:fill="FFFFFF"/>
        </w:rPr>
        <w:t>-Sequencing (</w:t>
      </w:r>
      <w:proofErr w:type="spellStart"/>
      <w:r w:rsidR="009C70F3">
        <w:rPr>
          <w:rFonts w:ascii="Times New Roman" w:eastAsia="Times New Roman" w:hAnsi="Times New Roman" w:cs="Times New Roman"/>
          <w:i/>
          <w:color w:val="000000" w:themeColor="text1"/>
          <w:szCs w:val="32"/>
          <w:shd w:val="clear" w:color="auto" w:fill="FFFFFF"/>
        </w:rPr>
        <w:t>chIP-Seq</w:t>
      </w:r>
      <w:proofErr w:type="spellEnd"/>
      <w:r w:rsidR="009C70F3">
        <w:rPr>
          <w:rFonts w:ascii="Times New Roman" w:eastAsia="Times New Roman" w:hAnsi="Times New Roman" w:cs="Times New Roman"/>
          <w:i/>
          <w:color w:val="000000" w:themeColor="text1"/>
          <w:szCs w:val="32"/>
          <w:shd w:val="clear" w:color="auto" w:fill="FFFFFF"/>
        </w:rPr>
        <w:t>)</w:t>
      </w:r>
      <w:r w:rsidR="009C70F3">
        <w:rPr>
          <w:rFonts w:ascii="Times New Roman" w:eastAsia="Times New Roman" w:hAnsi="Times New Roman" w:cs="Times New Roman"/>
          <w:color w:val="000000" w:themeColor="text1"/>
          <w:szCs w:val="32"/>
          <w:shd w:val="clear" w:color="auto" w:fill="FFFFFF"/>
        </w:rPr>
        <w:t xml:space="preserve">, </w:t>
      </w:r>
    </w:p>
    <w:p w14:paraId="266749BA" w14:textId="4D0892F9" w:rsidR="00B106CF" w:rsidRDefault="009C70F3" w:rsidP="004B1171">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in order to determine whether KLF1 binds directly to the ZBTB7A promoter. In </w:t>
      </w:r>
      <w:proofErr w:type="spellStart"/>
      <w:r>
        <w:rPr>
          <w:rFonts w:ascii="Times New Roman" w:eastAsia="Times New Roman" w:hAnsi="Times New Roman" w:cs="Times New Roman"/>
          <w:color w:val="000000" w:themeColor="text1"/>
          <w:szCs w:val="32"/>
          <w:shd w:val="clear" w:color="auto" w:fill="FFFFFF"/>
        </w:rPr>
        <w:t>chIP</w:t>
      </w:r>
      <w:proofErr w:type="spellEnd"/>
      <w:r>
        <w:rPr>
          <w:rFonts w:ascii="Times New Roman" w:eastAsia="Times New Roman" w:hAnsi="Times New Roman" w:cs="Times New Roman"/>
          <w:color w:val="000000" w:themeColor="text1"/>
          <w:szCs w:val="32"/>
          <w:shd w:val="clear" w:color="auto" w:fill="FFFFFF"/>
        </w:rPr>
        <w:t xml:space="preserve"> Sequencing, </w:t>
      </w:r>
      <w:r w:rsidR="00221522">
        <w:rPr>
          <w:rFonts w:ascii="Times New Roman" w:eastAsia="Times New Roman" w:hAnsi="Times New Roman" w:cs="Times New Roman"/>
          <w:color w:val="000000" w:themeColor="text1"/>
          <w:szCs w:val="32"/>
          <w:shd w:val="clear" w:color="auto" w:fill="FFFFFF"/>
        </w:rPr>
        <w:t xml:space="preserve">Chromatin Immunoprecipitation is conducted by the fixation </w:t>
      </w:r>
      <w:r w:rsidR="000C5D9A">
        <w:rPr>
          <w:rFonts w:ascii="Times New Roman" w:eastAsia="Times New Roman" w:hAnsi="Times New Roman" w:cs="Times New Roman"/>
          <w:color w:val="000000" w:themeColor="text1"/>
          <w:szCs w:val="32"/>
          <w:shd w:val="clear" w:color="auto" w:fill="FFFFFF"/>
        </w:rPr>
        <w:t>of chromatin with formaldehyde and subsequent fragmentation of DNA. Then, DNA-protein complexes present with protein-specific antibodies are isolated through immunoprecipitation. After this DNA obtained has been amplified by Polymerase Chain Reaction in order to produce enough to conduc</w:t>
      </w:r>
      <w:r w:rsidR="00903973">
        <w:rPr>
          <w:rFonts w:ascii="Times New Roman" w:eastAsia="Times New Roman" w:hAnsi="Times New Roman" w:cs="Times New Roman"/>
          <w:color w:val="000000" w:themeColor="text1"/>
          <w:szCs w:val="32"/>
          <w:shd w:val="clear" w:color="auto" w:fill="FFFFFF"/>
        </w:rPr>
        <w:t>t an analysis. It is then sequenced using Next Generation Sequencing (</w:t>
      </w:r>
      <w:proofErr w:type="spellStart"/>
      <w:r w:rsidR="00903973">
        <w:rPr>
          <w:rFonts w:ascii="Times New Roman" w:eastAsia="Times New Roman" w:hAnsi="Times New Roman" w:cs="Times New Roman"/>
          <w:color w:val="000000" w:themeColor="text1"/>
          <w:szCs w:val="32"/>
          <w:shd w:val="clear" w:color="auto" w:fill="FFFFFF"/>
        </w:rPr>
        <w:t>chIP-Seq</w:t>
      </w:r>
      <w:proofErr w:type="spellEnd"/>
      <w:r w:rsidR="00903973">
        <w:rPr>
          <w:rFonts w:ascii="Times New Roman" w:eastAsia="Times New Roman" w:hAnsi="Times New Roman" w:cs="Times New Roman"/>
          <w:color w:val="000000" w:themeColor="text1"/>
          <w:szCs w:val="32"/>
          <w:shd w:val="clear" w:color="auto" w:fill="FFFFFF"/>
        </w:rPr>
        <w:t xml:space="preserve">) and the reads produced are mapped to the genome, allowing researchers to possibly identify transcription factors through the observation of the presence of isolated DNA. In Norton et al (2017), the researchers first observed the initial levels of LRF/ZBTB7A in </w:t>
      </w:r>
      <w:r w:rsidR="00903973">
        <w:rPr>
          <w:rFonts w:ascii="Times New Roman" w:eastAsia="Times New Roman" w:hAnsi="Times New Roman" w:cs="Times New Roman"/>
          <w:i/>
          <w:color w:val="000000" w:themeColor="text1"/>
          <w:szCs w:val="32"/>
          <w:shd w:val="clear" w:color="auto" w:fill="FFFFFF"/>
        </w:rPr>
        <w:t>KLF1</w:t>
      </w:r>
      <w:r w:rsidR="00903973">
        <w:rPr>
          <w:rFonts w:ascii="Times New Roman" w:eastAsia="Times New Roman" w:hAnsi="Times New Roman" w:cs="Times New Roman"/>
          <w:i/>
          <w:color w:val="000000" w:themeColor="text1"/>
          <w:szCs w:val="32"/>
          <w:shd w:val="clear" w:color="auto" w:fill="FFFFFF"/>
          <w:vertAlign w:val="superscript"/>
        </w:rPr>
        <w:t>-/-</w:t>
      </w:r>
      <w:r w:rsidR="00903973">
        <w:rPr>
          <w:rFonts w:ascii="Times New Roman" w:eastAsia="Times New Roman" w:hAnsi="Times New Roman" w:cs="Times New Roman"/>
          <w:i/>
          <w:color w:val="000000" w:themeColor="text1"/>
          <w:szCs w:val="32"/>
          <w:shd w:val="clear" w:color="auto" w:fill="FFFFFF"/>
        </w:rPr>
        <w:t xml:space="preserve">  </w:t>
      </w:r>
      <w:r w:rsidR="00903973">
        <w:rPr>
          <w:rFonts w:ascii="Times New Roman" w:eastAsia="Times New Roman" w:hAnsi="Times New Roman" w:cs="Times New Roman"/>
          <w:color w:val="000000" w:themeColor="text1"/>
          <w:szCs w:val="32"/>
          <w:shd w:val="clear" w:color="auto" w:fill="FFFFFF"/>
        </w:rPr>
        <w:t xml:space="preserve">murine fetal liver cells and noticed a reduction of LRF/ZBTB7A expression compared to the wild-type controls. This could account for a possibility that LRF/ZBTB7A in downregulated in the absence of KLF1. Norton et al (2017) then began to conduct </w:t>
      </w:r>
      <w:proofErr w:type="spellStart"/>
      <w:r w:rsidR="00903973">
        <w:rPr>
          <w:rFonts w:ascii="Times New Roman" w:eastAsia="Times New Roman" w:hAnsi="Times New Roman" w:cs="Times New Roman"/>
          <w:color w:val="000000" w:themeColor="text1"/>
          <w:szCs w:val="32"/>
          <w:shd w:val="clear" w:color="auto" w:fill="FFFFFF"/>
        </w:rPr>
        <w:t>chIP-Seq</w:t>
      </w:r>
      <w:proofErr w:type="spellEnd"/>
      <w:r w:rsidR="00903973">
        <w:rPr>
          <w:rFonts w:ascii="Times New Roman" w:eastAsia="Times New Roman" w:hAnsi="Times New Roman" w:cs="Times New Roman"/>
          <w:color w:val="000000" w:themeColor="text1"/>
          <w:szCs w:val="32"/>
          <w:shd w:val="clear" w:color="auto" w:fill="FFFFFF"/>
        </w:rPr>
        <w:t xml:space="preserve"> experiments on both mouse and human cell lines in order to determine whether KLF1 binds directly to the ZBTB7A promoter. </w:t>
      </w:r>
    </w:p>
    <w:p w14:paraId="5EC64894" w14:textId="2F5172F4" w:rsidR="00B106CF" w:rsidRDefault="00B106CF" w:rsidP="004B1171">
      <w:pPr>
        <w:spacing w:line="276" w:lineRule="auto"/>
        <w:rPr>
          <w:rFonts w:ascii="Times New Roman" w:eastAsia="Times New Roman" w:hAnsi="Times New Roman" w:cs="Times New Roman"/>
          <w:color w:val="000000" w:themeColor="text1"/>
          <w:szCs w:val="32"/>
          <w:shd w:val="clear" w:color="auto" w:fill="FFFFFF"/>
        </w:rPr>
      </w:pPr>
    </w:p>
    <w:p w14:paraId="77DB4EEC" w14:textId="77777777" w:rsidR="00B106CF" w:rsidRDefault="00B106CF" w:rsidP="004B1171">
      <w:pPr>
        <w:spacing w:line="276" w:lineRule="auto"/>
        <w:rPr>
          <w:rFonts w:ascii="Times New Roman" w:eastAsia="Times New Roman" w:hAnsi="Times New Roman" w:cs="Times New Roman"/>
          <w:color w:val="000000" w:themeColor="text1"/>
          <w:szCs w:val="32"/>
          <w:shd w:val="clear" w:color="auto" w:fill="FFFFFF"/>
        </w:rPr>
      </w:pPr>
    </w:p>
    <w:p w14:paraId="336FA8EC" w14:textId="77777777" w:rsidR="00B106CF" w:rsidRDefault="00B106CF" w:rsidP="004B1171">
      <w:pPr>
        <w:spacing w:line="276" w:lineRule="auto"/>
        <w:rPr>
          <w:rFonts w:ascii="Times New Roman" w:eastAsia="Times New Roman" w:hAnsi="Times New Roman" w:cs="Times New Roman"/>
          <w:color w:val="000000" w:themeColor="text1"/>
          <w:szCs w:val="32"/>
          <w:shd w:val="clear" w:color="auto" w:fill="FFFFFF"/>
        </w:rPr>
      </w:pPr>
    </w:p>
    <w:p w14:paraId="5DB042DE" w14:textId="77777777" w:rsidR="00B106CF" w:rsidRDefault="00B106CF" w:rsidP="004B1171">
      <w:pPr>
        <w:spacing w:line="276" w:lineRule="auto"/>
        <w:rPr>
          <w:rFonts w:ascii="Times New Roman" w:eastAsia="Times New Roman" w:hAnsi="Times New Roman" w:cs="Times New Roman"/>
          <w:color w:val="000000" w:themeColor="text1"/>
          <w:szCs w:val="32"/>
          <w:shd w:val="clear" w:color="auto" w:fill="FFFFFF"/>
        </w:rPr>
      </w:pPr>
    </w:p>
    <w:p w14:paraId="682763BC" w14:textId="63841FD6" w:rsidR="00A80873" w:rsidRDefault="00903973" w:rsidP="004B1171">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According to the results displayed by the </w:t>
      </w:r>
      <w:proofErr w:type="spellStart"/>
      <w:r>
        <w:rPr>
          <w:rFonts w:ascii="Times New Roman" w:eastAsia="Times New Roman" w:hAnsi="Times New Roman" w:cs="Times New Roman"/>
          <w:color w:val="000000" w:themeColor="text1"/>
          <w:szCs w:val="32"/>
          <w:shd w:val="clear" w:color="auto" w:fill="FFFFFF"/>
        </w:rPr>
        <w:t>chIP-Seq</w:t>
      </w:r>
      <w:proofErr w:type="spellEnd"/>
      <w:r>
        <w:rPr>
          <w:rFonts w:ascii="Times New Roman" w:eastAsia="Times New Roman" w:hAnsi="Times New Roman" w:cs="Times New Roman"/>
          <w:color w:val="000000" w:themeColor="text1"/>
          <w:szCs w:val="32"/>
          <w:shd w:val="clear" w:color="auto" w:fill="FFFFFF"/>
        </w:rPr>
        <w:t xml:space="preserve"> </w:t>
      </w:r>
      <w:r>
        <w:rPr>
          <w:rFonts w:ascii="Times New Roman" w:eastAsia="Times New Roman" w:hAnsi="Times New Roman" w:cs="Times New Roman"/>
          <w:i/>
          <w:color w:val="000000" w:themeColor="text1"/>
          <w:szCs w:val="32"/>
          <w:shd w:val="clear" w:color="auto" w:fill="FFFFFF"/>
        </w:rPr>
        <w:t>(Fig. 2)</w:t>
      </w:r>
      <w:r>
        <w:rPr>
          <w:rFonts w:ascii="Times New Roman" w:eastAsia="Times New Roman" w:hAnsi="Times New Roman" w:cs="Times New Roman"/>
          <w:i/>
          <w:color w:val="000000" w:themeColor="text1"/>
          <w:szCs w:val="32"/>
          <w:shd w:val="clear" w:color="auto" w:fill="FFFFFF"/>
          <w:vertAlign w:val="superscript"/>
        </w:rPr>
        <w:t>14</w:t>
      </w:r>
      <w:r>
        <w:rPr>
          <w:rFonts w:ascii="Times New Roman" w:eastAsia="Times New Roman" w:hAnsi="Times New Roman" w:cs="Times New Roman"/>
          <w:i/>
          <w:color w:val="000000" w:themeColor="text1"/>
          <w:szCs w:val="32"/>
          <w:shd w:val="clear" w:color="auto" w:fill="FFFFFF"/>
        </w:rPr>
        <w:t xml:space="preserve">, </w:t>
      </w:r>
      <w:r w:rsidR="00681C58">
        <w:rPr>
          <w:rFonts w:ascii="Times New Roman" w:eastAsia="Times New Roman" w:hAnsi="Times New Roman" w:cs="Times New Roman"/>
          <w:color w:val="000000" w:themeColor="text1"/>
          <w:szCs w:val="32"/>
          <w:shd w:val="clear" w:color="auto" w:fill="FFFFFF"/>
        </w:rPr>
        <w:t xml:space="preserve">it was found that the ZBTB7A promoter was one of the highly enriched KLF1 peaks. Furthermore, a large number of KLF1 peaks were present within introns and enrichment of peaks were also observed in the promoter region and intergenic region. Due to the experiment conducted by Norton et al (2017), we can </w:t>
      </w:r>
      <w:r w:rsidR="00BC2306">
        <w:rPr>
          <w:rFonts w:ascii="Times New Roman" w:eastAsia="Times New Roman" w:hAnsi="Times New Roman" w:cs="Times New Roman"/>
          <w:color w:val="000000" w:themeColor="text1"/>
          <w:szCs w:val="32"/>
          <w:shd w:val="clear" w:color="auto" w:fill="FFFFFF"/>
        </w:rPr>
        <w:t>observe that KLF1 binding is highly enriched at the promoter of LRF/ZBTB7A in both murine and human cell lines and can further hypothesize that KLF1 can act in upregulating LRF/ZBTB7A.</w:t>
      </w:r>
    </w:p>
    <w:p w14:paraId="62BCCFF3" w14:textId="77777777" w:rsidR="00BC2306" w:rsidRPr="004B1171" w:rsidRDefault="00BC2306" w:rsidP="00BC230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ab/>
      </w:r>
      <w:r>
        <w:rPr>
          <w:rFonts w:ascii="Times New Roman" w:eastAsia="Times New Roman" w:hAnsi="Times New Roman" w:cs="Times New Roman"/>
          <w:color w:val="000000" w:themeColor="text1"/>
          <w:szCs w:val="32"/>
          <w:shd w:val="clear" w:color="auto" w:fill="FFFFFF"/>
        </w:rPr>
        <w:t xml:space="preserve">If we are able to control the amount of KLF1 that is being expressed, then it is possible to then regulate the activity of LRF/ZBTB7A in order to increase </w:t>
      </w:r>
      <w:r w:rsidRPr="00C711BB">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gene expression. </w:t>
      </w:r>
    </w:p>
    <w:p w14:paraId="1D65A8AF" w14:textId="78C56572" w:rsidR="00BC2306" w:rsidRPr="00BC2306" w:rsidRDefault="00BC2306" w:rsidP="004B1171">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Relating to the findings presented by Norton et al (2017), a hypothesis presented central to this proposal would be that LRF/ZBTB7A levels would be decreased in an absence of KLF1. This may in turn increase the levels of </w:t>
      </w:r>
      <w:r w:rsidRPr="00C711BB">
        <w:rPr>
          <w:rFonts w:ascii="Times New Roman" w:eastAsia="Times New Roman" w:hAnsi="Times New Roman" w:cs="Times New Roman"/>
          <w:i/>
          <w:color w:val="000000" w:themeColor="text1"/>
          <w:szCs w:val="28"/>
          <w:shd w:val="clear" w:color="auto" w:fill="FFFFFF"/>
        </w:rPr>
        <w:t>γ-</w:t>
      </w:r>
      <w:r>
        <w:rPr>
          <w:rFonts w:ascii="Times New Roman" w:eastAsia="Times New Roman" w:hAnsi="Times New Roman" w:cs="Times New Roman"/>
          <w:i/>
          <w:color w:val="000000" w:themeColor="text1"/>
          <w:szCs w:val="28"/>
          <w:shd w:val="clear" w:color="auto" w:fill="FFFFFF"/>
        </w:rPr>
        <w:t xml:space="preserve">globin </w:t>
      </w:r>
      <w:r>
        <w:rPr>
          <w:rFonts w:ascii="Times New Roman" w:eastAsia="Times New Roman" w:hAnsi="Times New Roman" w:cs="Times New Roman"/>
          <w:color w:val="000000" w:themeColor="text1"/>
          <w:szCs w:val="28"/>
          <w:shd w:val="clear" w:color="auto" w:fill="FFFFFF"/>
        </w:rPr>
        <w:t xml:space="preserve">since LRF/ZBTB7A is a known </w:t>
      </w:r>
      <w:r w:rsidRPr="00C711BB">
        <w:rPr>
          <w:rFonts w:ascii="Times New Roman" w:eastAsia="Times New Roman" w:hAnsi="Times New Roman" w:cs="Times New Roman"/>
          <w:i/>
          <w:color w:val="000000" w:themeColor="text1"/>
          <w:szCs w:val="28"/>
          <w:shd w:val="clear" w:color="auto" w:fill="FFFFFF"/>
        </w:rPr>
        <w:t>γ-</w:t>
      </w:r>
      <w:r>
        <w:rPr>
          <w:rFonts w:ascii="Times New Roman" w:eastAsia="Times New Roman" w:hAnsi="Times New Roman" w:cs="Times New Roman"/>
          <w:i/>
          <w:color w:val="000000" w:themeColor="text1"/>
          <w:szCs w:val="28"/>
          <w:shd w:val="clear" w:color="auto" w:fill="FFFFFF"/>
        </w:rPr>
        <w:t xml:space="preserve">globin </w:t>
      </w:r>
      <w:r>
        <w:rPr>
          <w:rFonts w:ascii="Times New Roman" w:eastAsia="Times New Roman" w:hAnsi="Times New Roman" w:cs="Times New Roman"/>
          <w:color w:val="000000" w:themeColor="text1"/>
          <w:szCs w:val="28"/>
          <w:shd w:val="clear" w:color="auto" w:fill="FFFFFF"/>
        </w:rPr>
        <w:t xml:space="preserve">repressor. However, one issue with the absence of KLF1 is that knocking </w:t>
      </w:r>
      <w:r>
        <w:rPr>
          <w:rFonts w:ascii="Times New Roman" w:eastAsia="Times New Roman" w:hAnsi="Times New Roman" w:cs="Times New Roman"/>
          <w:i/>
          <w:color w:val="000000" w:themeColor="text1"/>
          <w:szCs w:val="28"/>
          <w:shd w:val="clear" w:color="auto" w:fill="FFFFFF"/>
        </w:rPr>
        <w:t xml:space="preserve">out </w:t>
      </w:r>
      <w:r>
        <w:rPr>
          <w:rFonts w:ascii="Times New Roman" w:eastAsia="Times New Roman" w:hAnsi="Times New Roman" w:cs="Times New Roman"/>
          <w:color w:val="000000" w:themeColor="text1"/>
          <w:szCs w:val="28"/>
          <w:shd w:val="clear" w:color="auto" w:fill="FFFFFF"/>
        </w:rPr>
        <w:t>KLF1 altogether wouldn’t serve a purpose in obtaining results since KLF1 is an erythroid regulator that positively regulates hemoglobin</w:t>
      </w:r>
      <w:r>
        <w:rPr>
          <w:rFonts w:ascii="Times New Roman" w:eastAsia="Times New Roman" w:hAnsi="Times New Roman" w:cs="Times New Roman"/>
          <w:color w:val="000000" w:themeColor="text1"/>
          <w:szCs w:val="28"/>
          <w:shd w:val="clear" w:color="auto" w:fill="FFFFFF"/>
          <w:vertAlign w:val="superscript"/>
        </w:rPr>
        <w:t>12</w:t>
      </w:r>
      <w:r>
        <w:rPr>
          <w:rFonts w:ascii="Times New Roman" w:eastAsia="Times New Roman" w:hAnsi="Times New Roman" w:cs="Times New Roman"/>
          <w:color w:val="000000" w:themeColor="text1"/>
          <w:szCs w:val="28"/>
          <w:shd w:val="clear" w:color="auto" w:fill="FFFFFF"/>
        </w:rPr>
        <w:t xml:space="preserve">. So, proceeding with a </w:t>
      </w:r>
      <w:r>
        <w:rPr>
          <w:rFonts w:ascii="Times New Roman" w:eastAsia="Times New Roman" w:hAnsi="Times New Roman" w:cs="Times New Roman"/>
          <w:i/>
          <w:color w:val="000000" w:themeColor="text1"/>
          <w:szCs w:val="28"/>
          <w:shd w:val="clear" w:color="auto" w:fill="FFFFFF"/>
        </w:rPr>
        <w:t xml:space="preserve">knockdown </w:t>
      </w:r>
      <w:r>
        <w:rPr>
          <w:rFonts w:ascii="Times New Roman" w:eastAsia="Times New Roman" w:hAnsi="Times New Roman" w:cs="Times New Roman"/>
          <w:color w:val="000000" w:themeColor="text1"/>
          <w:szCs w:val="28"/>
          <w:shd w:val="clear" w:color="auto" w:fill="FFFFFF"/>
        </w:rPr>
        <w:t xml:space="preserve">of KLF1 may be beneficial to observe levels of LRF/ZBTB7A and </w:t>
      </w:r>
      <w:r w:rsidRPr="00C711BB">
        <w:rPr>
          <w:rFonts w:ascii="Times New Roman" w:eastAsia="Times New Roman" w:hAnsi="Times New Roman" w:cs="Times New Roman"/>
          <w:i/>
          <w:color w:val="000000" w:themeColor="text1"/>
          <w:szCs w:val="28"/>
          <w:shd w:val="clear" w:color="auto" w:fill="FFFFFF"/>
        </w:rPr>
        <w:t>γ-</w:t>
      </w:r>
      <w:r>
        <w:rPr>
          <w:rFonts w:ascii="Times New Roman" w:eastAsia="Times New Roman" w:hAnsi="Times New Roman" w:cs="Times New Roman"/>
          <w:i/>
          <w:color w:val="000000" w:themeColor="text1"/>
          <w:szCs w:val="28"/>
          <w:shd w:val="clear" w:color="auto" w:fill="FFFFFF"/>
        </w:rPr>
        <w:t>globin</w:t>
      </w:r>
      <w:r>
        <w:rPr>
          <w:rFonts w:ascii="Times New Roman" w:eastAsia="Times New Roman" w:hAnsi="Times New Roman" w:cs="Times New Roman"/>
          <w:color w:val="000000" w:themeColor="text1"/>
          <w:szCs w:val="28"/>
          <w:shd w:val="clear" w:color="auto" w:fill="FFFFFF"/>
        </w:rPr>
        <w:t xml:space="preserve"> while still producing hemoglobin. </w:t>
      </w:r>
    </w:p>
    <w:p w14:paraId="4CF5482D" w14:textId="77777777" w:rsidR="002B721C" w:rsidRDefault="002B721C" w:rsidP="004B1171">
      <w:pPr>
        <w:rPr>
          <w:rFonts w:ascii="Times New Roman" w:eastAsia="Times New Roman" w:hAnsi="Times New Roman" w:cs="Times New Roman"/>
          <w:color w:val="000000" w:themeColor="text1"/>
          <w:szCs w:val="32"/>
          <w:shd w:val="clear" w:color="auto" w:fill="FFFFFF"/>
        </w:rPr>
      </w:pPr>
    </w:p>
    <w:p w14:paraId="00827878" w14:textId="77777777" w:rsidR="00BC2306" w:rsidRDefault="00BC2306" w:rsidP="004B1171">
      <w:pPr>
        <w:rPr>
          <w:rFonts w:ascii="Times New Roman" w:eastAsia="Times New Roman" w:hAnsi="Times New Roman" w:cs="Times New Roman"/>
        </w:rPr>
      </w:pPr>
    </w:p>
    <w:p w14:paraId="78DECD5F" w14:textId="77777777" w:rsidR="002B721C" w:rsidRPr="004B1171" w:rsidRDefault="002B721C" w:rsidP="004B1171">
      <w:pPr>
        <w:rPr>
          <w:rFonts w:ascii="Times New Roman" w:eastAsia="Times New Roman" w:hAnsi="Times New Roman" w:cs="Times New Roman"/>
        </w:rPr>
      </w:pPr>
    </w:p>
    <w:p w14:paraId="354B1320" w14:textId="35227874" w:rsidR="00C711BB" w:rsidRDefault="00C711BB" w:rsidP="00C711BB">
      <w:pPr>
        <w:rPr>
          <w:rFonts w:ascii="Times New Roman" w:hAnsi="Times New Roman" w:cs="Times New Roman"/>
          <w:b/>
          <w:sz w:val="32"/>
        </w:rPr>
      </w:pPr>
      <w:r w:rsidRPr="00C711BB">
        <w:rPr>
          <w:rFonts w:ascii="Times New Roman" w:hAnsi="Times New Roman" w:cs="Times New Roman"/>
          <w:b/>
          <w:sz w:val="32"/>
        </w:rPr>
        <w:t>I</w:t>
      </w:r>
      <w:r>
        <w:rPr>
          <w:rFonts w:ascii="Times New Roman" w:hAnsi="Times New Roman" w:cs="Times New Roman"/>
          <w:b/>
          <w:sz w:val="32"/>
        </w:rPr>
        <w:t>I</w:t>
      </w:r>
      <w:r w:rsidRPr="00C711BB">
        <w:rPr>
          <w:rFonts w:ascii="Times New Roman" w:hAnsi="Times New Roman" w:cs="Times New Roman"/>
          <w:b/>
          <w:sz w:val="32"/>
        </w:rPr>
        <w:t>.</w:t>
      </w:r>
      <w:r>
        <w:rPr>
          <w:rFonts w:ascii="Times New Roman" w:hAnsi="Times New Roman" w:cs="Times New Roman"/>
          <w:b/>
          <w:sz w:val="32"/>
        </w:rPr>
        <w:t xml:space="preserve">  </w:t>
      </w:r>
      <w:r w:rsidRPr="00C711BB">
        <w:rPr>
          <w:rFonts w:ascii="Times New Roman" w:hAnsi="Times New Roman" w:cs="Times New Roman"/>
          <w:b/>
          <w:sz w:val="32"/>
        </w:rPr>
        <w:t>Experiment</w:t>
      </w:r>
    </w:p>
    <w:p w14:paraId="0673CE4A" w14:textId="77777777" w:rsidR="00C711BB" w:rsidRDefault="00C711BB" w:rsidP="00C711BB">
      <w:pPr>
        <w:rPr>
          <w:rFonts w:ascii="Times New Roman" w:hAnsi="Times New Roman" w:cs="Times New Roman"/>
          <w:b/>
          <w:sz w:val="32"/>
        </w:rPr>
      </w:pPr>
    </w:p>
    <w:p w14:paraId="23BD9FB0" w14:textId="19E7F0E9"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hAnsi="Times New Roman" w:cs="Times New Roman"/>
        </w:rPr>
        <w:t xml:space="preserve">This experiment will aim to determine if a knockdown of KLF1 will alter the levels of LRF/ZBTB7A and </w:t>
      </w:r>
      <w:r w:rsidRPr="00C711BB">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expression in erythroid cells. Specifically, the experiment will serve as a determinant as to whether KLF1 is able to regulate the expression of LRF/ZBTB7A and to what extent. In or</w:t>
      </w:r>
      <w:r w:rsidR="003231C0">
        <w:rPr>
          <w:rFonts w:ascii="Times New Roman" w:eastAsia="Times New Roman" w:hAnsi="Times New Roman" w:cs="Times New Roman"/>
          <w:color w:val="000000" w:themeColor="text1"/>
          <w:szCs w:val="32"/>
          <w:shd w:val="clear" w:color="auto" w:fill="FFFFFF"/>
        </w:rPr>
        <w:t xml:space="preserve">der to perform this experiment, </w:t>
      </w:r>
      <w:r w:rsidR="00621654">
        <w:rPr>
          <w:rFonts w:ascii="Times New Roman" w:eastAsia="Times New Roman" w:hAnsi="Times New Roman" w:cs="Times New Roman"/>
          <w:color w:val="000000" w:themeColor="text1"/>
          <w:szCs w:val="32"/>
          <w:shd w:val="clear" w:color="auto" w:fill="FFFFFF"/>
        </w:rPr>
        <w:t xml:space="preserve">erythroid cells will have to be infected by a lentivirus in order to knockdown KLF1, followed by using qRT-PCR to measure expression levels of LRF/ZBTB7A and </w:t>
      </w:r>
      <w:r w:rsidR="00621654" w:rsidRPr="00C711BB">
        <w:rPr>
          <w:rFonts w:ascii="Times New Roman" w:eastAsia="Times New Roman" w:hAnsi="Times New Roman" w:cs="Times New Roman"/>
          <w:color w:val="000000" w:themeColor="text1"/>
          <w:szCs w:val="32"/>
          <w:shd w:val="clear" w:color="auto" w:fill="FFFFFF"/>
        </w:rPr>
        <w:t>γ-globin</w:t>
      </w:r>
      <w:r w:rsidR="00815A57">
        <w:rPr>
          <w:rFonts w:ascii="Times New Roman" w:eastAsia="Times New Roman" w:hAnsi="Times New Roman" w:cs="Times New Roman"/>
          <w:color w:val="000000" w:themeColor="text1"/>
          <w:szCs w:val="32"/>
          <w:shd w:val="clear" w:color="auto" w:fill="FFFFFF"/>
        </w:rPr>
        <w:t xml:space="preserve"> after successful knockdown of KLF1</w:t>
      </w:r>
      <w:r w:rsidR="00621654">
        <w:rPr>
          <w:rFonts w:ascii="Times New Roman" w:eastAsia="Times New Roman" w:hAnsi="Times New Roman" w:cs="Times New Roman"/>
          <w:color w:val="000000" w:themeColor="text1"/>
          <w:szCs w:val="32"/>
          <w:shd w:val="clear" w:color="auto" w:fill="FFFFFF"/>
        </w:rPr>
        <w:t xml:space="preserve">. Hypothetical results obtained from this experiment could suggest that knocking down KLF1 can decrease the repressive activity of LRF/ZBTB7A which can then increase </w:t>
      </w:r>
      <w:r w:rsidR="00621654" w:rsidRPr="00C711BB">
        <w:rPr>
          <w:rFonts w:ascii="Times New Roman" w:eastAsia="Times New Roman" w:hAnsi="Times New Roman" w:cs="Times New Roman"/>
          <w:color w:val="000000" w:themeColor="text1"/>
          <w:szCs w:val="32"/>
          <w:shd w:val="clear" w:color="auto" w:fill="FFFFFF"/>
        </w:rPr>
        <w:t>γ-globin</w:t>
      </w:r>
      <w:r w:rsidR="00621654">
        <w:rPr>
          <w:rFonts w:ascii="Times New Roman" w:eastAsia="Times New Roman" w:hAnsi="Times New Roman" w:cs="Times New Roman"/>
          <w:color w:val="000000" w:themeColor="text1"/>
          <w:szCs w:val="32"/>
          <w:shd w:val="clear" w:color="auto" w:fill="FFFFFF"/>
        </w:rPr>
        <w:t xml:space="preserve"> gene expression in red blood cells, thus proving to be a viable direction to explore when searching for alternates to increase </w:t>
      </w:r>
      <w:r w:rsidR="00621654" w:rsidRPr="00C711BB">
        <w:rPr>
          <w:rFonts w:ascii="Times New Roman" w:eastAsia="Times New Roman" w:hAnsi="Times New Roman" w:cs="Times New Roman"/>
          <w:color w:val="000000" w:themeColor="text1"/>
          <w:szCs w:val="32"/>
          <w:shd w:val="clear" w:color="auto" w:fill="FFFFFF"/>
        </w:rPr>
        <w:t>γ-globin</w:t>
      </w:r>
      <w:r w:rsidR="00621654">
        <w:rPr>
          <w:rFonts w:ascii="Times New Roman" w:eastAsia="Times New Roman" w:hAnsi="Times New Roman" w:cs="Times New Roman"/>
          <w:color w:val="000000" w:themeColor="text1"/>
          <w:szCs w:val="32"/>
          <w:shd w:val="clear" w:color="auto" w:fill="FFFFFF"/>
        </w:rPr>
        <w:t xml:space="preserve"> to help alleviate symptoms of sickle cell anemia. </w:t>
      </w:r>
    </w:p>
    <w:p w14:paraId="5C570281" w14:textId="7777777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p>
    <w:p w14:paraId="1107ED80" w14:textId="7777777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p>
    <w:p w14:paraId="782F0AC8" w14:textId="6891742A" w:rsidR="003A7CAA" w:rsidRDefault="003A7CAA"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Knockdown of KLF1</w:t>
      </w:r>
    </w:p>
    <w:p w14:paraId="3FBD9F34" w14:textId="77777777" w:rsidR="003A7CAA" w:rsidRDefault="003A7CAA" w:rsidP="00C711BB">
      <w:pPr>
        <w:spacing w:line="276" w:lineRule="auto"/>
        <w:rPr>
          <w:rFonts w:ascii="Times New Roman" w:eastAsia="Times New Roman" w:hAnsi="Times New Roman" w:cs="Times New Roman"/>
          <w:color w:val="000000" w:themeColor="text1"/>
          <w:szCs w:val="32"/>
          <w:u w:val="single"/>
          <w:shd w:val="clear" w:color="auto" w:fill="FFFFFF"/>
        </w:rPr>
      </w:pPr>
    </w:p>
    <w:p w14:paraId="2F226D24" w14:textId="4CF7E65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In order to be able to measure the expression of γ-globin, it is imperative to not completely knock out the amount of KLF1 in the erythroid cells since doing so would halt the production of γ-globin. In order to be able to observe and measure LRF/ZBTB7A and subsequently γ-globin levels, </w:t>
      </w:r>
      <w:r w:rsidR="00440D75">
        <w:rPr>
          <w:rFonts w:ascii="Times New Roman" w:eastAsia="Times New Roman" w:hAnsi="Times New Roman" w:cs="Times New Roman"/>
          <w:color w:val="000000" w:themeColor="text1"/>
          <w:szCs w:val="32"/>
          <w:shd w:val="clear" w:color="auto" w:fill="FFFFFF"/>
        </w:rPr>
        <w:t>KLF1 will proceed to be knocked down through a lentivirus infection.</w:t>
      </w:r>
    </w:p>
    <w:p w14:paraId="7F083A25" w14:textId="7EE8E2EA" w:rsidR="00440D75" w:rsidRDefault="0063143E" w:rsidP="00C711BB">
      <w:pPr>
        <w:spacing w:line="276" w:lineRule="auto"/>
        <w:rPr>
          <w:rFonts w:ascii="Times New Roman" w:eastAsia="Times New Roman" w:hAnsi="Times New Roman" w:cs="Times New Roman"/>
          <w:color w:val="000000" w:themeColor="text1"/>
          <w:szCs w:val="32"/>
          <w:shd w:val="clear" w:color="auto" w:fill="FFFFFF"/>
        </w:rPr>
      </w:pPr>
      <w:r w:rsidRPr="0063143E">
        <w:rPr>
          <w:rFonts w:ascii="Times New Roman" w:eastAsia="Times New Roman" w:hAnsi="Times New Roman" w:cs="Times New Roman"/>
          <w:noProof/>
          <w:color w:val="000000" w:themeColor="text1"/>
          <w:szCs w:val="32"/>
          <w:shd w:val="clear" w:color="auto" w:fill="FFFFFF"/>
        </w:rPr>
        <w:drawing>
          <wp:anchor distT="0" distB="0" distL="114300" distR="114300" simplePos="0" relativeHeight="251658240" behindDoc="0" locked="0" layoutInCell="1" allowOverlap="1" wp14:anchorId="74B6ABC9" wp14:editId="47CCA543">
            <wp:simplePos x="0" y="0"/>
            <wp:positionH relativeFrom="column">
              <wp:posOffset>3244850</wp:posOffset>
            </wp:positionH>
            <wp:positionV relativeFrom="paragraph">
              <wp:posOffset>154940</wp:posOffset>
            </wp:positionV>
            <wp:extent cx="3169920" cy="2854960"/>
            <wp:effectExtent l="0" t="0" r="5080" b="0"/>
            <wp:wrapTight wrapText="bothSides">
              <wp:wrapPolygon edited="0">
                <wp:start x="0" y="0"/>
                <wp:lineTo x="0" y="21331"/>
                <wp:lineTo x="21462" y="21331"/>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9920" cy="2854960"/>
                    </a:xfrm>
                    <a:prstGeom prst="rect">
                      <a:avLst/>
                    </a:prstGeom>
                  </pic:spPr>
                </pic:pic>
              </a:graphicData>
            </a:graphic>
            <wp14:sizeRelH relativeFrom="page">
              <wp14:pctWidth>0</wp14:pctWidth>
            </wp14:sizeRelH>
            <wp14:sizeRelV relativeFrom="page">
              <wp14:pctHeight>0</wp14:pctHeight>
            </wp14:sizeRelV>
          </wp:anchor>
        </w:drawing>
      </w:r>
    </w:p>
    <w:p w14:paraId="664F1D48" w14:textId="45378B54" w:rsidR="00440D75" w:rsidRDefault="00440D75"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Lentiviral Infection</w:t>
      </w:r>
    </w:p>
    <w:p w14:paraId="04234700" w14:textId="39AD65A3" w:rsidR="00440D75" w:rsidRDefault="00440D75" w:rsidP="00C711BB">
      <w:pPr>
        <w:spacing w:line="276" w:lineRule="auto"/>
        <w:rPr>
          <w:rFonts w:ascii="Times New Roman" w:eastAsia="Times New Roman" w:hAnsi="Times New Roman" w:cs="Times New Roman"/>
          <w:color w:val="000000" w:themeColor="text1"/>
          <w:szCs w:val="32"/>
          <w:u w:val="single"/>
          <w:shd w:val="clear" w:color="auto" w:fill="FFFFFF"/>
        </w:rPr>
      </w:pPr>
    </w:p>
    <w:p w14:paraId="10ECC765" w14:textId="7C9598D8" w:rsidR="0063143E" w:rsidRDefault="0063143E"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noProof/>
          <w:color w:val="000000" w:themeColor="text1"/>
          <w:szCs w:val="32"/>
        </w:rPr>
        <mc:AlternateContent>
          <mc:Choice Requires="wps">
            <w:drawing>
              <wp:anchor distT="0" distB="0" distL="114300" distR="114300" simplePos="0" relativeHeight="251659264" behindDoc="0" locked="0" layoutInCell="1" allowOverlap="1" wp14:anchorId="32251D52" wp14:editId="19840392">
                <wp:simplePos x="0" y="0"/>
                <wp:positionH relativeFrom="column">
                  <wp:posOffset>3137535</wp:posOffset>
                </wp:positionH>
                <wp:positionV relativeFrom="paragraph">
                  <wp:posOffset>2409825</wp:posOffset>
                </wp:positionV>
                <wp:extent cx="3086100" cy="14814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1481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D1DFA" w14:textId="77777777" w:rsidR="0063143E" w:rsidRPr="0063143E" w:rsidRDefault="0063143E" w:rsidP="0063143E">
                            <w:pPr>
                              <w:rPr>
                                <w:rFonts w:ascii="Times New Roman" w:eastAsia="Times New Roman" w:hAnsi="Times New Roman" w:cs="Times New Roman"/>
                                <w:color w:val="333333"/>
                                <w:sz w:val="18"/>
                                <w:szCs w:val="21"/>
                                <w:shd w:val="clear" w:color="auto" w:fill="FFFFFF"/>
                              </w:rPr>
                            </w:pPr>
                            <w:r w:rsidRPr="0063143E">
                              <w:rPr>
                                <w:rFonts w:ascii="Times New Roman" w:hAnsi="Times New Roman" w:cs="Times New Roman"/>
                                <w:b/>
                                <w:sz w:val="18"/>
                                <w:szCs w:val="21"/>
                              </w:rPr>
                              <w:t xml:space="preserve">Fig. 3 - </w:t>
                            </w:r>
                            <w:r w:rsidRPr="0063143E">
                              <w:rPr>
                                <w:rFonts w:ascii="Times New Roman" w:eastAsia="Times New Roman" w:hAnsi="Times New Roman" w:cs="Times New Roman"/>
                                <w:color w:val="333333"/>
                                <w:sz w:val="18"/>
                                <w:szCs w:val="21"/>
                                <w:shd w:val="clear" w:color="auto" w:fill="FFFFFF"/>
                              </w:rPr>
                              <w:t>Making Lentiviral Vectors.</w:t>
                            </w:r>
                          </w:p>
                          <w:p w14:paraId="54F82198" w14:textId="3BB5F8B6" w:rsidR="0063143E" w:rsidRPr="0063143E" w:rsidRDefault="0063143E" w:rsidP="0063143E">
                            <w:pPr>
                              <w:rPr>
                                <w:rFonts w:ascii="Times New Roman" w:eastAsia="Times New Roman" w:hAnsi="Times New Roman" w:cs="Times New Roman"/>
                                <w:sz w:val="18"/>
                                <w:szCs w:val="21"/>
                              </w:rPr>
                            </w:pPr>
                            <w:r w:rsidRPr="0063143E">
                              <w:rPr>
                                <w:rFonts w:ascii="Times New Roman" w:eastAsia="Times New Roman" w:hAnsi="Times New Roman" w:cs="Times New Roman"/>
                                <w:color w:val="333333"/>
                                <w:sz w:val="18"/>
                                <w:szCs w:val="21"/>
                                <w:shd w:val="clear" w:color="auto" w:fill="FFFFFF"/>
                              </w:rPr>
                              <w:t>Lentiviral vectors are created by cotransfection of a packaging cell line (293T/293FT) with the cDNA/shRNA expressing transfer plasmid along with two helper/packaging plasmids which encode the structural and envelope (typically VSV-G) proteins. The packaging cells produce infectious particles, whose genome only encodes sequences from the transfer plasmid, which can be used to transduce the target cells. The transfer plasmid alone is transfected into a packaging cell line (Phoenix) that already contains the helper constructs. (Ref. 11)</w:t>
                            </w:r>
                          </w:p>
                          <w:p w14:paraId="67D5BBC6" w14:textId="7C5096F5" w:rsidR="0063143E" w:rsidRPr="0063143E" w:rsidRDefault="0063143E">
                            <w:pP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51D52" id="Text Box 2" o:spid="_x0000_s1027" type="#_x0000_t202" style="position:absolute;margin-left:247.05pt;margin-top:189.75pt;width:243pt;height:11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" filled="f" stroked="f">
                <v:textbox>
                  <w:txbxContent>
                    <w:p w14:paraId="467D1DFA" w14:textId="77777777" w:rsidR="0063143E" w:rsidRPr="0063143E" w:rsidRDefault="0063143E" w:rsidP="0063143E">
                      <w:pPr>
                        <w:rPr>
                          <w:rFonts w:ascii="Times New Roman" w:eastAsia="Times New Roman" w:hAnsi="Times New Roman" w:cs="Times New Roman"/>
                          <w:color w:val="333333"/>
                          <w:sz w:val="18"/>
                          <w:szCs w:val="21"/>
                          <w:shd w:val="clear" w:color="auto" w:fill="FFFFFF"/>
                        </w:rPr>
                      </w:pPr>
                      <w:r w:rsidRPr="0063143E">
                        <w:rPr>
                          <w:rFonts w:ascii="Times New Roman" w:hAnsi="Times New Roman" w:cs="Times New Roman"/>
                          <w:b/>
                          <w:sz w:val="18"/>
                          <w:szCs w:val="21"/>
                        </w:rPr>
                        <w:t xml:space="preserve">Fig. 3 - </w:t>
                      </w:r>
                      <w:r w:rsidRPr="0063143E">
                        <w:rPr>
                          <w:rFonts w:ascii="Times New Roman" w:eastAsia="Times New Roman" w:hAnsi="Times New Roman" w:cs="Times New Roman"/>
                          <w:color w:val="333333"/>
                          <w:sz w:val="18"/>
                          <w:szCs w:val="21"/>
                          <w:shd w:val="clear" w:color="auto" w:fill="FFFFFF"/>
                        </w:rPr>
                        <w:t>Making Lentiviral Vectors.</w:t>
                      </w:r>
                    </w:p>
                    <w:p w14:paraId="54F82198" w14:textId="3BB5F8B6" w:rsidR="0063143E" w:rsidRPr="0063143E" w:rsidRDefault="0063143E" w:rsidP="0063143E">
                      <w:pPr>
                        <w:rPr>
                          <w:rFonts w:ascii="Times New Roman" w:eastAsia="Times New Roman" w:hAnsi="Times New Roman" w:cs="Times New Roman"/>
                          <w:sz w:val="18"/>
                          <w:szCs w:val="21"/>
                        </w:rPr>
                      </w:pPr>
                      <w:r w:rsidRPr="0063143E">
                        <w:rPr>
                          <w:rFonts w:ascii="Times New Roman" w:eastAsia="Times New Roman" w:hAnsi="Times New Roman" w:cs="Times New Roman"/>
                          <w:color w:val="333333"/>
                          <w:sz w:val="18"/>
                          <w:szCs w:val="21"/>
                          <w:shd w:val="clear" w:color="auto" w:fill="FFFFFF"/>
                        </w:rPr>
                        <w:t>Lentiviral vectors are created by cotransfection of a packaging cell line (293T/293FT) with the cDNA/shRNA expressing transfer plasmid along with two helper/packaging plasmids which encode the structural and envelope (typically VSV-G) proteins. The packaging cells produce infectious particles, whose genome only encodes sequences from the transfer plasmid, which can be used to transduce the target cells. The transfer plasmid alone is transfected into a packaging cell line (Phoenix) that already contains the helper constructs. (Ref. 11)</w:t>
                      </w:r>
                    </w:p>
                    <w:p w14:paraId="67D5BBC6" w14:textId="7C5096F5" w:rsidR="0063143E" w:rsidRPr="0063143E" w:rsidRDefault="0063143E">
                      <w:pPr>
                        <w:rPr>
                          <w:rFonts w:ascii="Times New Roman" w:hAnsi="Times New Roman" w:cs="Times New Roman"/>
                          <w:i/>
                        </w:rPr>
                      </w:pPr>
                    </w:p>
                  </w:txbxContent>
                </v:textbox>
                <w10:wrap type="square"/>
              </v:shape>
            </w:pict>
          </mc:Fallback>
        </mc:AlternateContent>
      </w:r>
      <w:r w:rsidR="00440D75">
        <w:rPr>
          <w:rFonts w:ascii="Times New Roman" w:eastAsia="Times New Roman" w:hAnsi="Times New Roman" w:cs="Times New Roman"/>
          <w:color w:val="000000" w:themeColor="text1"/>
          <w:szCs w:val="32"/>
          <w:shd w:val="clear" w:color="auto" w:fill="FFFFFF"/>
        </w:rPr>
        <w:t xml:space="preserve">Infection via a lentiviral vector has posed as a vital tool in aiding nucleic acid delivery. </w:t>
      </w:r>
      <w:r w:rsidR="00B32625">
        <w:rPr>
          <w:rFonts w:ascii="Times New Roman" w:eastAsia="Times New Roman" w:hAnsi="Times New Roman" w:cs="Times New Roman"/>
          <w:color w:val="000000" w:themeColor="text1"/>
          <w:szCs w:val="32"/>
          <w:shd w:val="clear" w:color="auto" w:fill="FFFFFF"/>
        </w:rPr>
        <w:t>Specifically, a lentiviral infection allows for a</w:t>
      </w:r>
      <w:r w:rsidR="00BC2306">
        <w:rPr>
          <w:rFonts w:ascii="Times New Roman" w:eastAsia="Times New Roman" w:hAnsi="Times New Roman" w:cs="Times New Roman"/>
          <w:color w:val="000000" w:themeColor="text1"/>
          <w:szCs w:val="32"/>
          <w:shd w:val="clear" w:color="auto" w:fill="FFFFFF"/>
        </w:rPr>
        <w:t xml:space="preserve"> </w:t>
      </w:r>
      <w:r w:rsidR="00B32625">
        <w:rPr>
          <w:rFonts w:ascii="Times New Roman" w:eastAsia="Times New Roman" w:hAnsi="Times New Roman" w:cs="Times New Roman"/>
          <w:color w:val="000000" w:themeColor="text1"/>
          <w:szCs w:val="32"/>
          <w:shd w:val="clear" w:color="auto" w:fill="FFFFFF"/>
        </w:rPr>
        <w:t>stable integration of a specific nucleic acid sequence into the genome of the target cell. Further utilizing this method of nucleic acid delivery by a lentiviral vector can lead to the</w:t>
      </w:r>
      <w:r w:rsidR="00050C9E">
        <w:rPr>
          <w:rFonts w:ascii="Times New Roman" w:eastAsia="Times New Roman" w:hAnsi="Times New Roman" w:cs="Times New Roman"/>
          <w:color w:val="000000" w:themeColor="text1"/>
          <w:szCs w:val="32"/>
          <w:shd w:val="clear" w:color="auto" w:fill="FFFFFF"/>
        </w:rPr>
        <w:t xml:space="preserve"> expression of a gene construct, especially one which has the man-made shRNA inside.</w:t>
      </w:r>
      <w:r w:rsidR="00B32625">
        <w:rPr>
          <w:rFonts w:ascii="Times New Roman" w:eastAsia="Times New Roman" w:hAnsi="Times New Roman" w:cs="Times New Roman"/>
          <w:color w:val="000000" w:themeColor="text1"/>
          <w:szCs w:val="32"/>
          <w:shd w:val="clear" w:color="auto" w:fill="FFFFFF"/>
        </w:rPr>
        <w:t xml:space="preserve"> </w:t>
      </w:r>
      <w:r w:rsidR="00D948B5">
        <w:rPr>
          <w:rFonts w:ascii="Times New Roman" w:eastAsia="Times New Roman" w:hAnsi="Times New Roman" w:cs="Times New Roman"/>
          <w:color w:val="000000" w:themeColor="text1"/>
          <w:szCs w:val="32"/>
          <w:shd w:val="clear" w:color="auto" w:fill="FFFFFF"/>
        </w:rPr>
        <w:t xml:space="preserve">A key aspect that sets lentiviral infection apart from say transfection of nucleic acids is that while the transfection may result in only transient expression of the transgene, the infection system </w:t>
      </w:r>
    </w:p>
    <w:p w14:paraId="697267FB" w14:textId="313D5A1E" w:rsidR="007751A9" w:rsidRDefault="00D948B5"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of the lentivirus allows for the transgene to be inherited and then </w:t>
      </w:r>
      <w:r>
        <w:rPr>
          <w:rFonts w:ascii="Times New Roman" w:eastAsia="Times New Roman" w:hAnsi="Times New Roman" w:cs="Times New Roman"/>
          <w:i/>
          <w:color w:val="000000" w:themeColor="text1"/>
          <w:szCs w:val="32"/>
          <w:shd w:val="clear" w:color="auto" w:fill="FFFFFF"/>
        </w:rPr>
        <w:t xml:space="preserve">continuously </w:t>
      </w:r>
      <w:r>
        <w:rPr>
          <w:rFonts w:ascii="Times New Roman" w:eastAsia="Times New Roman" w:hAnsi="Times New Roman" w:cs="Times New Roman"/>
          <w:color w:val="000000" w:themeColor="text1"/>
          <w:szCs w:val="32"/>
          <w:shd w:val="clear" w:color="auto" w:fill="FFFFFF"/>
        </w:rPr>
        <w:t>expressed over repeated cell divisions. Another specific facet of the lentiviral vector is that it produces “self-inactivating” particles. These particles, true to their name allow for the delivery of the desired sequence into the target cells but does not allow continued viral replication. In the case of this experiment, having self-inactivating particles can prove to be useful, since continuing viral replication would lead KLF1 down a path of being knocked out completely. As functional as the lentiviral infection sounds, there are mul</w:t>
      </w:r>
      <w:r w:rsidR="00D05F98">
        <w:rPr>
          <w:rFonts w:ascii="Times New Roman" w:eastAsia="Times New Roman" w:hAnsi="Times New Roman" w:cs="Times New Roman"/>
          <w:color w:val="000000" w:themeColor="text1"/>
          <w:szCs w:val="32"/>
          <w:shd w:val="clear" w:color="auto" w:fill="FFFFFF"/>
        </w:rPr>
        <w:t xml:space="preserve">tiple components in order to transfect the target cell and successfully harvest the lentivirus to </w:t>
      </w:r>
      <w:r>
        <w:rPr>
          <w:rFonts w:ascii="Times New Roman" w:eastAsia="Times New Roman" w:hAnsi="Times New Roman" w:cs="Times New Roman"/>
          <w:color w:val="000000" w:themeColor="text1"/>
          <w:szCs w:val="32"/>
          <w:shd w:val="clear" w:color="auto" w:fill="FFFFFF"/>
        </w:rPr>
        <w:t>deliver the desir</w:t>
      </w:r>
      <w:r w:rsidR="00BC2306">
        <w:rPr>
          <w:rFonts w:ascii="Times New Roman" w:eastAsia="Times New Roman" w:hAnsi="Times New Roman" w:cs="Times New Roman"/>
          <w:color w:val="000000" w:themeColor="text1"/>
          <w:szCs w:val="32"/>
          <w:shd w:val="clear" w:color="auto" w:fill="FFFFFF"/>
        </w:rPr>
        <w:t>ed sequence (Fig 3). There are currently three generations or methods to create lentiviral plasmids, however due to wanting a higher viral yield, the method employed in this proposal will be the 2</w:t>
      </w:r>
      <w:r w:rsidR="00BC2306" w:rsidRPr="00BC2306">
        <w:rPr>
          <w:rFonts w:ascii="Times New Roman" w:eastAsia="Times New Roman" w:hAnsi="Times New Roman" w:cs="Times New Roman"/>
          <w:color w:val="000000" w:themeColor="text1"/>
          <w:szCs w:val="32"/>
          <w:shd w:val="clear" w:color="auto" w:fill="FFFFFF"/>
          <w:vertAlign w:val="superscript"/>
        </w:rPr>
        <w:t>nd</w:t>
      </w:r>
      <w:r w:rsidR="00BC2306">
        <w:rPr>
          <w:rFonts w:ascii="Times New Roman" w:eastAsia="Times New Roman" w:hAnsi="Times New Roman" w:cs="Times New Roman"/>
          <w:color w:val="000000" w:themeColor="text1"/>
          <w:szCs w:val="32"/>
          <w:shd w:val="clear" w:color="auto" w:fill="FFFFFF"/>
        </w:rPr>
        <w:t xml:space="preserve"> generation of creating lentiviral plasmids. This method, in F</w:t>
      </w:r>
      <w:r w:rsidR="00770628">
        <w:rPr>
          <w:rFonts w:ascii="Times New Roman" w:eastAsia="Times New Roman" w:hAnsi="Times New Roman" w:cs="Times New Roman"/>
          <w:color w:val="000000" w:themeColor="text1"/>
          <w:szCs w:val="32"/>
          <w:shd w:val="clear" w:color="auto" w:fill="FFFFFF"/>
        </w:rPr>
        <w:t>igure 3, uses three plasmids that make up the lentiviral system.</w:t>
      </w:r>
      <w:r w:rsidR="00E91756">
        <w:rPr>
          <w:rFonts w:ascii="Times New Roman" w:eastAsia="Times New Roman" w:hAnsi="Times New Roman" w:cs="Times New Roman"/>
          <w:color w:val="000000" w:themeColor="text1"/>
          <w:szCs w:val="32"/>
          <w:shd w:val="clear" w:color="auto" w:fill="FFFFFF"/>
        </w:rPr>
        <w:t xml:space="preserve"> </w:t>
      </w:r>
      <w:r w:rsidR="00770628">
        <w:rPr>
          <w:rFonts w:ascii="Times New Roman" w:eastAsia="Times New Roman" w:hAnsi="Times New Roman" w:cs="Times New Roman"/>
          <w:color w:val="000000" w:themeColor="text1"/>
          <w:szCs w:val="32"/>
          <w:shd w:val="clear" w:color="auto" w:fill="FFFFFF"/>
        </w:rPr>
        <w:t xml:space="preserve"> These three plasmids</w:t>
      </w:r>
      <w:r w:rsidR="007D6AAF">
        <w:rPr>
          <w:rFonts w:ascii="Times New Roman" w:eastAsia="Times New Roman" w:hAnsi="Times New Roman" w:cs="Times New Roman"/>
          <w:color w:val="000000" w:themeColor="text1"/>
          <w:szCs w:val="32"/>
          <w:shd w:val="clear" w:color="auto" w:fill="FFFFFF"/>
        </w:rPr>
        <w:t xml:space="preserve"> include </w:t>
      </w:r>
      <w:r w:rsidR="00770628">
        <w:rPr>
          <w:rFonts w:ascii="Times New Roman" w:eastAsia="Times New Roman" w:hAnsi="Times New Roman" w:cs="Times New Roman"/>
          <w:color w:val="000000" w:themeColor="text1"/>
          <w:szCs w:val="32"/>
          <w:shd w:val="clear" w:color="auto" w:fill="FFFFFF"/>
        </w:rPr>
        <w:t>the:</w:t>
      </w:r>
    </w:p>
    <w:p w14:paraId="0634B8C0" w14:textId="77777777" w:rsidR="00770628" w:rsidRDefault="00770628" w:rsidP="00C711BB">
      <w:pPr>
        <w:spacing w:line="276" w:lineRule="auto"/>
        <w:rPr>
          <w:rFonts w:ascii="Times New Roman" w:eastAsia="Times New Roman" w:hAnsi="Times New Roman" w:cs="Times New Roman"/>
          <w:color w:val="000000" w:themeColor="text1"/>
          <w:szCs w:val="32"/>
          <w:shd w:val="clear" w:color="auto" w:fill="FFFFFF"/>
        </w:rPr>
      </w:pPr>
    </w:p>
    <w:p w14:paraId="19B6F22A" w14:textId="0C96417C" w:rsidR="007D6AAF" w:rsidRDefault="00770628" w:rsidP="007D6AAF">
      <w:pPr>
        <w:pStyle w:val="ListParagraph"/>
        <w:numPr>
          <w:ilvl w:val="0"/>
          <w:numId w:val="9"/>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Transfer Plasmid: The transfer plasmid </w:t>
      </w:r>
      <w:r w:rsidR="003214C8">
        <w:rPr>
          <w:rFonts w:ascii="Times New Roman" w:eastAsia="Times New Roman" w:hAnsi="Times New Roman" w:cs="Times New Roman"/>
          <w:color w:val="000000" w:themeColor="text1"/>
          <w:szCs w:val="32"/>
          <w:shd w:val="clear" w:color="auto" w:fill="FFFFFF"/>
        </w:rPr>
        <w:t xml:space="preserve">is used to transfer the gene of interest into the target cells. </w:t>
      </w:r>
      <w:r w:rsidR="0054638E">
        <w:rPr>
          <w:rFonts w:ascii="Times New Roman" w:eastAsia="Times New Roman" w:hAnsi="Times New Roman" w:cs="Times New Roman"/>
          <w:color w:val="000000" w:themeColor="text1"/>
          <w:szCs w:val="32"/>
          <w:shd w:val="clear" w:color="auto" w:fill="FFFFFF"/>
        </w:rPr>
        <w:t xml:space="preserve">In the transfer plasmid, there is a deletion of the U3 region and transcriptionally active sequences in the 3’ LTR, which results in the LTR being self-activating. The 5’ LTR then drives the expression of the packaged genomic RNA. </w:t>
      </w:r>
    </w:p>
    <w:p w14:paraId="79FE3DB1" w14:textId="77777777" w:rsidR="0054638E" w:rsidRDefault="0054638E" w:rsidP="0054638E">
      <w:pPr>
        <w:pStyle w:val="ListParagraph"/>
        <w:spacing w:line="276" w:lineRule="auto"/>
        <w:rPr>
          <w:rFonts w:ascii="Times New Roman" w:eastAsia="Times New Roman" w:hAnsi="Times New Roman" w:cs="Times New Roman"/>
          <w:color w:val="000000" w:themeColor="text1"/>
          <w:szCs w:val="32"/>
          <w:shd w:val="clear" w:color="auto" w:fill="FFFFFF"/>
        </w:rPr>
      </w:pPr>
    </w:p>
    <w:p w14:paraId="0FB7787E" w14:textId="712D82C2" w:rsidR="0054638E" w:rsidRDefault="0054638E" w:rsidP="007D6AAF">
      <w:pPr>
        <w:pStyle w:val="ListParagraph"/>
        <w:numPr>
          <w:ilvl w:val="0"/>
          <w:numId w:val="9"/>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The Packaging Plasmid: The Packaging Plasmid contains viral proteins </w:t>
      </w:r>
      <w:r>
        <w:rPr>
          <w:rFonts w:ascii="Times New Roman" w:eastAsia="Times New Roman" w:hAnsi="Times New Roman" w:cs="Times New Roman"/>
          <w:i/>
          <w:color w:val="000000" w:themeColor="text1"/>
          <w:szCs w:val="32"/>
          <w:shd w:val="clear" w:color="auto" w:fill="FFFFFF"/>
        </w:rPr>
        <w:t xml:space="preserve">Gag, Pol, Rev, </w:t>
      </w:r>
      <w:r>
        <w:rPr>
          <w:rFonts w:ascii="Times New Roman" w:eastAsia="Times New Roman" w:hAnsi="Times New Roman" w:cs="Times New Roman"/>
          <w:color w:val="000000" w:themeColor="text1"/>
          <w:szCs w:val="32"/>
          <w:shd w:val="clear" w:color="auto" w:fill="FFFFFF"/>
        </w:rPr>
        <w:t xml:space="preserve">and </w:t>
      </w:r>
      <w:r>
        <w:rPr>
          <w:rFonts w:ascii="Times New Roman" w:eastAsia="Times New Roman" w:hAnsi="Times New Roman" w:cs="Times New Roman"/>
          <w:i/>
          <w:color w:val="000000" w:themeColor="text1"/>
          <w:szCs w:val="32"/>
          <w:shd w:val="clear" w:color="auto" w:fill="FFFFFF"/>
        </w:rPr>
        <w:t>Tat</w:t>
      </w:r>
      <w:r>
        <w:rPr>
          <w:rFonts w:ascii="Times New Roman" w:eastAsia="Times New Roman" w:hAnsi="Times New Roman" w:cs="Times New Roman"/>
          <w:color w:val="000000" w:themeColor="text1"/>
          <w:szCs w:val="32"/>
          <w:shd w:val="clear" w:color="auto" w:fill="FFFFFF"/>
        </w:rPr>
        <w:t xml:space="preserve">. Gag and Pol are viral proteins that are needed for the development and maturation of the virus. Rev and Tat are needed to positively regulate transcriptional activity and export the genomic RNA from the nucleus. </w:t>
      </w:r>
    </w:p>
    <w:p w14:paraId="51ED5D4E" w14:textId="77777777" w:rsidR="0054638E" w:rsidRPr="0054638E" w:rsidRDefault="0054638E" w:rsidP="0054638E">
      <w:pPr>
        <w:spacing w:line="276" w:lineRule="auto"/>
        <w:rPr>
          <w:rFonts w:ascii="Times New Roman" w:eastAsia="Times New Roman" w:hAnsi="Times New Roman" w:cs="Times New Roman"/>
          <w:color w:val="000000" w:themeColor="text1"/>
          <w:szCs w:val="32"/>
          <w:shd w:val="clear" w:color="auto" w:fill="FFFFFF"/>
        </w:rPr>
      </w:pPr>
    </w:p>
    <w:p w14:paraId="29919AD3" w14:textId="38A54BF7" w:rsidR="0054638E" w:rsidRDefault="0054638E" w:rsidP="007D6AAF">
      <w:pPr>
        <w:pStyle w:val="ListParagraph"/>
        <w:numPr>
          <w:ilvl w:val="0"/>
          <w:numId w:val="9"/>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The Envelope Plasmid: The Envelope Plasmid is comprised of </w:t>
      </w:r>
      <w:r w:rsidR="00350BDE">
        <w:rPr>
          <w:rFonts w:ascii="Times New Roman" w:eastAsia="Times New Roman" w:hAnsi="Times New Roman" w:cs="Times New Roman"/>
          <w:color w:val="000000" w:themeColor="text1"/>
          <w:szCs w:val="32"/>
          <w:shd w:val="clear" w:color="auto" w:fill="FFFFFF"/>
        </w:rPr>
        <w:t xml:space="preserve">envelope proteins that determine the tropism (the orientation or turning movement of an organism in response to an environmental stimulus) of the virus that is subsequently harvested. </w:t>
      </w:r>
    </w:p>
    <w:p w14:paraId="386021E4" w14:textId="77777777" w:rsidR="00350BDE" w:rsidRPr="00350BDE" w:rsidRDefault="00350BDE" w:rsidP="00350BDE">
      <w:pPr>
        <w:spacing w:line="276" w:lineRule="auto"/>
        <w:rPr>
          <w:rFonts w:ascii="Times New Roman" w:eastAsia="Times New Roman" w:hAnsi="Times New Roman" w:cs="Times New Roman"/>
          <w:color w:val="000000" w:themeColor="text1"/>
          <w:szCs w:val="32"/>
          <w:shd w:val="clear" w:color="auto" w:fill="FFFFFF"/>
        </w:rPr>
      </w:pPr>
    </w:p>
    <w:p w14:paraId="550840A8" w14:textId="77777777" w:rsidR="00350BDE" w:rsidRDefault="00350BDE" w:rsidP="00350BDE">
      <w:pPr>
        <w:spacing w:line="276" w:lineRule="auto"/>
        <w:rPr>
          <w:rFonts w:ascii="Times New Roman" w:eastAsia="Times New Roman" w:hAnsi="Times New Roman" w:cs="Times New Roman"/>
          <w:color w:val="000000" w:themeColor="text1"/>
          <w:szCs w:val="32"/>
          <w:shd w:val="clear" w:color="auto" w:fill="FFFFFF"/>
        </w:rPr>
      </w:pPr>
    </w:p>
    <w:p w14:paraId="414377E9" w14:textId="4DAAA420" w:rsidR="00DC771F" w:rsidRDefault="00350BDE"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Transfer plasmids which carried a KLF1 targeted shRNA and </w:t>
      </w:r>
      <w:proofErr w:type="gramStart"/>
      <w:r>
        <w:rPr>
          <w:rFonts w:ascii="Times New Roman" w:eastAsia="Times New Roman" w:hAnsi="Times New Roman" w:cs="Times New Roman"/>
          <w:color w:val="000000" w:themeColor="text1"/>
          <w:szCs w:val="32"/>
          <w:shd w:val="clear" w:color="auto" w:fill="FFFFFF"/>
        </w:rPr>
        <w:t>a scrambled shRNA coding sequences</w:t>
      </w:r>
      <w:proofErr w:type="gramEnd"/>
      <w:r>
        <w:rPr>
          <w:rFonts w:ascii="Times New Roman" w:eastAsia="Times New Roman" w:hAnsi="Times New Roman" w:cs="Times New Roman"/>
          <w:color w:val="000000" w:themeColor="text1"/>
          <w:szCs w:val="32"/>
          <w:shd w:val="clear" w:color="auto" w:fill="FFFFFF"/>
        </w:rPr>
        <w:t xml:space="preserve"> separately was obtained from Dr. Francois </w:t>
      </w:r>
      <w:proofErr w:type="spellStart"/>
      <w:r>
        <w:rPr>
          <w:rFonts w:ascii="Times New Roman" w:eastAsia="Times New Roman" w:hAnsi="Times New Roman" w:cs="Times New Roman"/>
          <w:color w:val="000000" w:themeColor="text1"/>
          <w:szCs w:val="32"/>
          <w:shd w:val="clear" w:color="auto" w:fill="FFFFFF"/>
        </w:rPr>
        <w:t>Morle</w:t>
      </w:r>
      <w:proofErr w:type="spellEnd"/>
      <w:r>
        <w:rPr>
          <w:rFonts w:ascii="Times New Roman" w:eastAsia="Times New Roman" w:hAnsi="Times New Roman" w:cs="Times New Roman"/>
          <w:color w:val="000000" w:themeColor="text1"/>
          <w:szCs w:val="32"/>
          <w:shd w:val="clear" w:color="auto" w:fill="FFFFFF"/>
        </w:rPr>
        <w:t xml:space="preserve"> of </w:t>
      </w:r>
      <w:proofErr w:type="spellStart"/>
      <w:r>
        <w:rPr>
          <w:rFonts w:ascii="Times New Roman" w:eastAsia="Times New Roman" w:hAnsi="Times New Roman" w:cs="Times New Roman"/>
          <w:color w:val="000000" w:themeColor="text1"/>
          <w:szCs w:val="32"/>
          <w:shd w:val="clear" w:color="auto" w:fill="FFFFFF"/>
        </w:rPr>
        <w:t>Universite</w:t>
      </w:r>
      <w:proofErr w:type="spellEnd"/>
      <w:r>
        <w:rPr>
          <w:rFonts w:ascii="Times New Roman" w:eastAsia="Times New Roman" w:hAnsi="Times New Roman" w:cs="Times New Roman"/>
          <w:color w:val="000000" w:themeColor="text1"/>
          <w:szCs w:val="32"/>
          <w:shd w:val="clear" w:color="auto" w:fill="FFFFFF"/>
        </w:rPr>
        <w:t xml:space="preserve"> Claude Bernard Lyon1, (Lyon France) and Dr. </w:t>
      </w:r>
      <w:proofErr w:type="spellStart"/>
      <w:r>
        <w:rPr>
          <w:rFonts w:ascii="Times New Roman" w:eastAsia="Times New Roman" w:hAnsi="Times New Roman" w:cs="Times New Roman"/>
          <w:color w:val="000000" w:themeColor="text1"/>
          <w:szCs w:val="32"/>
          <w:shd w:val="clear" w:color="auto" w:fill="FFFFFF"/>
        </w:rPr>
        <w:t>Fawsia</w:t>
      </w:r>
      <w:proofErr w:type="spellEnd"/>
      <w:r>
        <w:rPr>
          <w:rFonts w:ascii="Times New Roman" w:eastAsia="Times New Roman" w:hAnsi="Times New Roman" w:cs="Times New Roman"/>
          <w:color w:val="000000" w:themeColor="text1"/>
          <w:szCs w:val="32"/>
          <w:shd w:val="clear" w:color="auto" w:fill="FFFFFF"/>
        </w:rPr>
        <w:t xml:space="preserve"> </w:t>
      </w:r>
      <w:proofErr w:type="spellStart"/>
      <w:r>
        <w:rPr>
          <w:rFonts w:ascii="Times New Roman" w:eastAsia="Times New Roman" w:hAnsi="Times New Roman" w:cs="Times New Roman"/>
          <w:color w:val="000000" w:themeColor="text1"/>
          <w:szCs w:val="32"/>
          <w:shd w:val="clear" w:color="auto" w:fill="FFFFFF"/>
        </w:rPr>
        <w:t>Louache</w:t>
      </w:r>
      <w:proofErr w:type="spellEnd"/>
      <w:r>
        <w:rPr>
          <w:rFonts w:ascii="Times New Roman" w:eastAsia="Times New Roman" w:hAnsi="Times New Roman" w:cs="Times New Roman"/>
          <w:color w:val="000000" w:themeColor="text1"/>
          <w:szCs w:val="32"/>
          <w:shd w:val="clear" w:color="auto" w:fill="FFFFFF"/>
        </w:rPr>
        <w:t xml:space="preserve"> of INSERM (Villejuif, France). </w:t>
      </w:r>
      <w:r w:rsidR="00DC771F">
        <w:rPr>
          <w:rFonts w:ascii="Times New Roman" w:eastAsia="Times New Roman" w:hAnsi="Times New Roman" w:cs="Times New Roman"/>
          <w:color w:val="000000" w:themeColor="text1"/>
          <w:szCs w:val="32"/>
          <w:shd w:val="clear" w:color="auto" w:fill="FFFFFF"/>
        </w:rPr>
        <w:t>The use of a lentiviral infection in order to knock down KLF1 has been exhibited and performed before in Vinjamur et al (2016)</w:t>
      </w:r>
      <w:r w:rsidR="00DC771F">
        <w:rPr>
          <w:rFonts w:ascii="Times New Roman" w:eastAsia="Times New Roman" w:hAnsi="Times New Roman" w:cs="Times New Roman"/>
          <w:color w:val="000000" w:themeColor="text1"/>
          <w:szCs w:val="32"/>
          <w:shd w:val="clear" w:color="auto" w:fill="FFFFFF"/>
          <w:vertAlign w:val="superscript"/>
        </w:rPr>
        <w:t>12</w:t>
      </w:r>
      <w:r w:rsidR="00373EF3">
        <w:rPr>
          <w:rFonts w:ascii="Times New Roman" w:eastAsia="Times New Roman" w:hAnsi="Times New Roman" w:cs="Times New Roman"/>
          <w:color w:val="000000" w:themeColor="text1"/>
          <w:szCs w:val="32"/>
          <w:shd w:val="clear" w:color="auto" w:fill="FFFFFF"/>
          <w:vertAlign w:val="superscript"/>
        </w:rPr>
        <w:t xml:space="preserve"> </w:t>
      </w:r>
      <w:r w:rsidR="00373EF3">
        <w:rPr>
          <w:rFonts w:ascii="Times New Roman" w:eastAsia="Times New Roman" w:hAnsi="Times New Roman" w:cs="Times New Roman"/>
          <w:color w:val="000000" w:themeColor="text1"/>
          <w:szCs w:val="32"/>
          <w:shd w:val="clear" w:color="auto" w:fill="FFFFFF"/>
        </w:rPr>
        <w:t xml:space="preserve">In this experiment, Vinjamur et al sought to knockdown KLF1 by </w:t>
      </w:r>
      <w:r w:rsidR="007751A9">
        <w:rPr>
          <w:rFonts w:ascii="Times New Roman" w:eastAsia="Times New Roman" w:hAnsi="Times New Roman" w:cs="Times New Roman"/>
          <w:color w:val="000000" w:themeColor="text1"/>
          <w:szCs w:val="32"/>
          <w:shd w:val="clear" w:color="auto" w:fill="FFFFFF"/>
        </w:rPr>
        <w:t xml:space="preserve">first conducting a calcium phosphate transfection of the 293T Cell line. Three subcategories were divided evenly for the calcium phosphate transfection—scramble, K1V1, and K2V2. </w:t>
      </w:r>
      <w:r w:rsidR="005D5EF6">
        <w:rPr>
          <w:rFonts w:ascii="Times New Roman" w:eastAsia="Times New Roman" w:hAnsi="Times New Roman" w:cs="Times New Roman"/>
          <w:color w:val="000000" w:themeColor="text1"/>
          <w:szCs w:val="32"/>
          <w:shd w:val="clear" w:color="auto" w:fill="FFFFFF"/>
        </w:rPr>
        <w:t>All three categories were separately transfected, with scramble shRNA</w:t>
      </w:r>
      <w:r w:rsidR="001379BB">
        <w:rPr>
          <w:rFonts w:ascii="Times New Roman" w:eastAsia="Times New Roman" w:hAnsi="Times New Roman" w:cs="Times New Roman"/>
          <w:color w:val="000000" w:themeColor="text1"/>
          <w:szCs w:val="32"/>
          <w:shd w:val="clear" w:color="auto" w:fill="FFFFFF"/>
        </w:rPr>
        <w:t xml:space="preserve"> added to scramble category and K1V1 mock and K1V2 knockdown added respectively. Due to a calcium phosphate formation which caused cells to die after 18 hours, the medium containing the viral particles was filtered, thus making the lentivirus ready for infection of (in their experiment), an artificial cell line named HUDEP-2 cells. </w:t>
      </w:r>
      <w:r w:rsidR="005D5EF6">
        <w:rPr>
          <w:rFonts w:ascii="Times New Roman" w:eastAsia="Times New Roman" w:hAnsi="Times New Roman" w:cs="Times New Roman"/>
          <w:color w:val="000000" w:themeColor="text1"/>
          <w:szCs w:val="32"/>
          <w:shd w:val="clear" w:color="auto" w:fill="FFFFFF"/>
        </w:rPr>
        <w:t xml:space="preserve"> </w:t>
      </w:r>
    </w:p>
    <w:p w14:paraId="259C309F"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74020087"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0BDB20CD" w14:textId="2A978E45"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Measuring levels of Expression</w:t>
      </w:r>
      <w:r w:rsidR="00D85F2F">
        <w:rPr>
          <w:rFonts w:ascii="Times New Roman" w:eastAsia="Times New Roman" w:hAnsi="Times New Roman" w:cs="Times New Roman"/>
          <w:color w:val="000000" w:themeColor="text1"/>
          <w:szCs w:val="32"/>
          <w:u w:val="single"/>
          <w:shd w:val="clear" w:color="auto" w:fill="FFFFFF"/>
        </w:rPr>
        <w:t xml:space="preserve"> (of LRF/ZBTB7A and </w:t>
      </w:r>
      <w:r w:rsidR="00D85F2F" w:rsidRPr="00D85F2F">
        <w:rPr>
          <w:rFonts w:ascii="Times New Roman" w:eastAsia="Times New Roman" w:hAnsi="Times New Roman" w:cs="Times New Roman"/>
          <w:color w:val="000000" w:themeColor="text1"/>
          <w:szCs w:val="32"/>
          <w:u w:val="single"/>
          <w:shd w:val="clear" w:color="auto" w:fill="FFFFFF"/>
        </w:rPr>
        <w:t>γ-globin</w:t>
      </w:r>
      <w:r w:rsidRPr="00D85F2F">
        <w:rPr>
          <w:rFonts w:ascii="Times New Roman" w:eastAsia="Times New Roman" w:hAnsi="Times New Roman" w:cs="Times New Roman"/>
          <w:color w:val="000000" w:themeColor="text1"/>
          <w:szCs w:val="32"/>
          <w:u w:val="single"/>
          <w:shd w:val="clear" w:color="auto" w:fill="FFFFFF"/>
        </w:rPr>
        <w:t>)</w:t>
      </w:r>
    </w:p>
    <w:p w14:paraId="7085FF5C" w14:textId="77777777"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p>
    <w:p w14:paraId="70FDD82F" w14:textId="7FB51C93"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Once KLF1 had been successfully knocked down by lentiviral infection, the levels of LRF/ZBTB7A and γ-globin had to be measured in order to determine if KLF1 had an effect on the regulation of either and if it did, to what extent? For this experiment, qRT-PCR would be used as a method to determine and measure changes in gene expression of both LRF/ZBTB7A and γ-globin. </w:t>
      </w:r>
    </w:p>
    <w:p w14:paraId="62163E78"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0A67603B" w14:textId="64102FF8"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Quantitative Reverse Transcriptase-PCR (qRT-PCR)</w:t>
      </w:r>
    </w:p>
    <w:p w14:paraId="5433D8C7" w14:textId="77777777"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p>
    <w:p w14:paraId="5C0D2997" w14:textId="75DDEC27" w:rsidR="001379BB" w:rsidRDefault="000F654D"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Quantitative Reverse Transcriptase-PCR (qRT-PCR) </w:t>
      </w:r>
      <w:r w:rsidR="00815A57">
        <w:rPr>
          <w:rFonts w:ascii="Times New Roman" w:eastAsia="Times New Roman" w:hAnsi="Times New Roman" w:cs="Times New Roman"/>
          <w:color w:val="000000" w:themeColor="text1"/>
          <w:szCs w:val="32"/>
          <w:shd w:val="clear" w:color="auto" w:fill="FFFFFF"/>
        </w:rPr>
        <w:t xml:space="preserve">is a technique that is employed to measure the amount of a specific </w:t>
      </w:r>
      <w:r w:rsidR="0068580F">
        <w:rPr>
          <w:rFonts w:ascii="Times New Roman" w:eastAsia="Times New Roman" w:hAnsi="Times New Roman" w:cs="Times New Roman"/>
          <w:color w:val="000000" w:themeColor="text1"/>
          <w:szCs w:val="32"/>
          <w:shd w:val="clear" w:color="auto" w:fill="FFFFFF"/>
        </w:rPr>
        <w:t>RNA. The standard steps of a PCR are still included as a qRT-PCR is being performed, which is comprised of three steps</w:t>
      </w:r>
      <w:r w:rsidR="00F63A4A">
        <w:rPr>
          <w:rFonts w:ascii="Times New Roman" w:eastAsia="Times New Roman" w:hAnsi="Times New Roman" w:cs="Times New Roman"/>
          <w:color w:val="000000" w:themeColor="text1"/>
          <w:szCs w:val="32"/>
          <w:shd w:val="clear" w:color="auto" w:fill="FFFFFF"/>
          <w:vertAlign w:val="superscript"/>
        </w:rPr>
        <w:t>13</w:t>
      </w:r>
      <w:r w:rsidR="002C17E6">
        <w:rPr>
          <w:rFonts w:ascii="Times New Roman" w:eastAsia="Times New Roman" w:hAnsi="Times New Roman" w:cs="Times New Roman"/>
          <w:color w:val="000000" w:themeColor="text1"/>
          <w:szCs w:val="32"/>
          <w:shd w:val="clear" w:color="auto" w:fill="FFFFFF"/>
        </w:rPr>
        <w:t>(Fig. 4)</w:t>
      </w:r>
      <w:r w:rsidR="0068580F">
        <w:rPr>
          <w:rFonts w:ascii="Times New Roman" w:eastAsia="Times New Roman" w:hAnsi="Times New Roman" w:cs="Times New Roman"/>
          <w:color w:val="000000" w:themeColor="text1"/>
          <w:szCs w:val="32"/>
          <w:shd w:val="clear" w:color="auto" w:fill="FFFFFF"/>
        </w:rPr>
        <w:t>:</w:t>
      </w:r>
    </w:p>
    <w:p w14:paraId="41411B9B" w14:textId="77777777" w:rsidR="0068580F" w:rsidRDefault="0068580F" w:rsidP="00C711BB">
      <w:pPr>
        <w:spacing w:line="276" w:lineRule="auto"/>
        <w:rPr>
          <w:rFonts w:ascii="Times New Roman" w:eastAsia="Times New Roman" w:hAnsi="Times New Roman" w:cs="Times New Roman"/>
          <w:color w:val="000000" w:themeColor="text1"/>
          <w:szCs w:val="32"/>
          <w:shd w:val="clear" w:color="auto" w:fill="FFFFFF"/>
        </w:rPr>
      </w:pPr>
    </w:p>
    <w:p w14:paraId="42642F4C" w14:textId="57EDE67E" w:rsidR="0068580F" w:rsidRDefault="0068580F" w:rsidP="0068580F">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DNA Denaturation: Denaturation causes the DNA to unzip and separate, exposing nucleotides.</w:t>
      </w:r>
    </w:p>
    <w:p w14:paraId="7EB8DBDB" w14:textId="264EBC0C" w:rsidR="0068580F" w:rsidRDefault="0068580F" w:rsidP="0068580F">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Primer </w:t>
      </w:r>
      <w:r w:rsidR="002C17E6">
        <w:rPr>
          <w:rFonts w:ascii="Times New Roman" w:eastAsia="Times New Roman" w:hAnsi="Times New Roman" w:cs="Times New Roman"/>
          <w:color w:val="000000" w:themeColor="text1"/>
          <w:szCs w:val="32"/>
          <w:shd w:val="clear" w:color="auto" w:fill="FFFFFF"/>
        </w:rPr>
        <w:t>Annealing: the primers pair up or anneal with the single-stranded template sequence of DNA that needs to be copied. The polymerase then attaches and starts copying the template.</w:t>
      </w:r>
    </w:p>
    <w:p w14:paraId="546CA061" w14:textId="77777777" w:rsidR="002C17E6" w:rsidRPr="00B328F7" w:rsidRDefault="002C17E6" w:rsidP="002C17E6">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Extension: DNA building blocks that are complementary to the template are then coupled to the primer, making a double stranded DNA molecule. </w:t>
      </w:r>
    </w:p>
    <w:p w14:paraId="07034961" w14:textId="77777777"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r w:rsidRPr="00D85F2F">
        <w:rPr>
          <w:rFonts w:ascii="Times New Roman" w:eastAsia="Times New Roman" w:hAnsi="Times New Roman" w:cs="Times New Roman"/>
          <w:noProof/>
          <w:color w:val="000000" w:themeColor="text1"/>
          <w:szCs w:val="32"/>
          <w:shd w:val="clear" w:color="auto" w:fill="FFFFFF"/>
        </w:rPr>
        <w:drawing>
          <wp:anchor distT="0" distB="0" distL="114300" distR="114300" simplePos="0" relativeHeight="251660288" behindDoc="0" locked="0" layoutInCell="1" allowOverlap="1" wp14:anchorId="40B6F4B6" wp14:editId="65FBC6B7">
            <wp:simplePos x="0" y="0"/>
            <wp:positionH relativeFrom="column">
              <wp:posOffset>2337435</wp:posOffset>
            </wp:positionH>
            <wp:positionV relativeFrom="paragraph">
              <wp:posOffset>80645</wp:posOffset>
            </wp:positionV>
            <wp:extent cx="3480435" cy="3620135"/>
            <wp:effectExtent l="0" t="0" r="0" b="12065"/>
            <wp:wrapTight wrapText="bothSides">
              <wp:wrapPolygon edited="0">
                <wp:start x="0" y="0"/>
                <wp:lineTo x="0" y="21520"/>
                <wp:lineTo x="21438" y="21520"/>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0435" cy="3620135"/>
                    </a:xfrm>
                    <a:prstGeom prst="rect">
                      <a:avLst/>
                    </a:prstGeom>
                  </pic:spPr>
                </pic:pic>
              </a:graphicData>
            </a:graphic>
            <wp14:sizeRelH relativeFrom="page">
              <wp14:pctWidth>0</wp14:pctWidth>
            </wp14:sizeRelH>
            <wp14:sizeRelV relativeFrom="page">
              <wp14:pctHeight>0</wp14:pctHeight>
            </wp14:sizeRelV>
          </wp:anchor>
        </w:drawing>
      </w:r>
      <w:r w:rsidR="00C75707">
        <w:rPr>
          <w:rFonts w:ascii="Times New Roman" w:eastAsia="Times New Roman" w:hAnsi="Times New Roman" w:cs="Times New Roman"/>
          <w:color w:val="000000" w:themeColor="text1"/>
          <w:szCs w:val="32"/>
          <w:shd w:val="clear" w:color="auto" w:fill="FFFFFF"/>
        </w:rPr>
        <w:t>However</w:t>
      </w:r>
      <w:r>
        <w:rPr>
          <w:rFonts w:ascii="Times New Roman" w:eastAsia="Times New Roman" w:hAnsi="Times New Roman" w:cs="Times New Roman"/>
          <w:color w:val="000000" w:themeColor="text1"/>
          <w:szCs w:val="32"/>
          <w:shd w:val="clear" w:color="auto" w:fill="FFFFFF"/>
        </w:rPr>
        <w:t xml:space="preserve">, qRT-PCR </w:t>
      </w:r>
      <w:r w:rsidR="00C75707">
        <w:rPr>
          <w:rFonts w:ascii="Times New Roman" w:eastAsia="Times New Roman" w:hAnsi="Times New Roman" w:cs="Times New Roman"/>
          <w:color w:val="000000" w:themeColor="text1"/>
          <w:szCs w:val="32"/>
          <w:shd w:val="clear" w:color="auto" w:fill="FFFFFF"/>
        </w:rPr>
        <w:t xml:space="preserve">takes it a few steps further and determines he progress of the PCR as it occurs (in real time), and quantitative data is collected after each cycle in the PCR process, rather than only at the end of PCR (similar to what may be achieved through end-point PCR). In doing this, as the technique is true to its name, qRT-PCR is most helpful in determining how much of a specific DNA or gene is present in a given sample. In order to detect and quantify the product from the PCR, two common </w:t>
      </w:r>
      <w:r>
        <w:rPr>
          <w:rFonts w:ascii="Times New Roman" w:eastAsia="Times New Roman" w:hAnsi="Times New Roman" w:cs="Times New Roman"/>
          <w:color w:val="000000" w:themeColor="text1"/>
          <w:szCs w:val="32"/>
          <w:shd w:val="clear" w:color="auto" w:fill="FFFFFF"/>
        </w:rPr>
        <w:t xml:space="preserve">methods are used: </w:t>
      </w:r>
    </w:p>
    <w:p w14:paraId="70ABE76C" w14:textId="77777777"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p>
    <w:p w14:paraId="10775A2F" w14:textId="67AE192F"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noProof/>
          <w:color w:val="000000" w:themeColor="text1"/>
          <w:szCs w:val="32"/>
        </w:rPr>
        <mc:AlternateContent>
          <mc:Choice Requires="wps">
            <w:drawing>
              <wp:anchor distT="0" distB="0" distL="114300" distR="114300" simplePos="0" relativeHeight="251661312" behindDoc="0" locked="0" layoutInCell="1" allowOverlap="1" wp14:anchorId="1D09024F" wp14:editId="120F513A">
                <wp:simplePos x="0" y="0"/>
                <wp:positionH relativeFrom="column">
                  <wp:posOffset>2339340</wp:posOffset>
                </wp:positionH>
                <wp:positionV relativeFrom="paragraph">
                  <wp:posOffset>509905</wp:posOffset>
                </wp:positionV>
                <wp:extent cx="35433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A03F4" w14:textId="3186D642" w:rsidR="00D85F2F" w:rsidRPr="00D85F2F" w:rsidRDefault="00D85F2F">
                            <w:pPr>
                              <w:rPr>
                                <w:rFonts w:ascii="Times New Roman" w:hAnsi="Times New Roman" w:cs="Times New Roman"/>
                                <w:sz w:val="21"/>
                                <w:szCs w:val="21"/>
                              </w:rPr>
                            </w:pPr>
                            <w:r>
                              <w:rPr>
                                <w:rFonts w:ascii="Times New Roman" w:hAnsi="Times New Roman" w:cs="Times New Roman"/>
                                <w:b/>
                              </w:rPr>
                              <w:t xml:space="preserve">Fig. 4 – </w:t>
                            </w:r>
                            <w:r>
                              <w:rPr>
                                <w:rFonts w:ascii="Times New Roman" w:hAnsi="Times New Roman" w:cs="Times New Roman"/>
                                <w:sz w:val="21"/>
                                <w:szCs w:val="21"/>
                              </w:rPr>
                              <w:t>a schematic detailing the steps in a Polymerase Chain Reaction conducted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9024F" id="Text Box 5" o:spid="_x0000_s1028" type="#_x0000_t202" style="position:absolute;margin-left:184.2pt;margin-top:40.15pt;width:279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" filled="f" stroked="f">
                <v:textbox>
                  <w:txbxContent>
                    <w:p w14:paraId="4FDA03F4" w14:textId="3186D642" w:rsidR="00D85F2F" w:rsidRPr="00D85F2F" w:rsidRDefault="00D85F2F">
                      <w:pPr>
                        <w:rPr>
                          <w:rFonts w:ascii="Times New Roman" w:hAnsi="Times New Roman" w:cs="Times New Roman"/>
                          <w:sz w:val="21"/>
                          <w:szCs w:val="21"/>
                        </w:rPr>
                      </w:pPr>
                      <w:r>
                        <w:rPr>
                          <w:rFonts w:ascii="Times New Roman" w:hAnsi="Times New Roman" w:cs="Times New Roman"/>
                          <w:b/>
                        </w:rPr>
                        <w:t xml:space="preserve">Fig. 4 – </w:t>
                      </w:r>
                      <w:r>
                        <w:rPr>
                          <w:rFonts w:ascii="Times New Roman" w:hAnsi="Times New Roman" w:cs="Times New Roman"/>
                          <w:sz w:val="21"/>
                          <w:szCs w:val="21"/>
                        </w:rPr>
                        <w:t>a schematic detailing the steps in a Polymerase Chain Reaction conducted (PCR).</w:t>
                      </w:r>
                    </w:p>
                  </w:txbxContent>
                </v:textbox>
                <w10:wrap type="square"/>
              </v:shape>
            </w:pict>
          </mc:Fallback>
        </mc:AlternateContent>
      </w:r>
      <w:r>
        <w:rPr>
          <w:rFonts w:ascii="Times New Roman" w:eastAsia="Times New Roman" w:hAnsi="Times New Roman" w:cs="Times New Roman"/>
          <w:color w:val="000000" w:themeColor="text1"/>
          <w:szCs w:val="32"/>
          <w:shd w:val="clear" w:color="auto" w:fill="FFFFFF"/>
        </w:rPr>
        <w:t>1) fluorescent</w:t>
      </w:r>
      <w:r w:rsidR="00C75707">
        <w:rPr>
          <w:rFonts w:ascii="Times New Roman" w:eastAsia="Times New Roman" w:hAnsi="Times New Roman" w:cs="Times New Roman"/>
          <w:color w:val="000000" w:themeColor="text1"/>
          <w:szCs w:val="32"/>
          <w:shd w:val="clear" w:color="auto" w:fill="FFFFFF"/>
        </w:rPr>
        <w:t xml:space="preserve"> dyes that serve as intercalating agents and wedge in</w:t>
      </w:r>
      <w:r>
        <w:rPr>
          <w:rFonts w:ascii="Times New Roman" w:eastAsia="Times New Roman" w:hAnsi="Times New Roman" w:cs="Times New Roman"/>
          <w:color w:val="000000" w:themeColor="text1"/>
          <w:szCs w:val="32"/>
          <w:shd w:val="clear" w:color="auto" w:fill="FFFFFF"/>
        </w:rPr>
        <w:t>to the double-stranded DNA.</w:t>
      </w:r>
    </w:p>
    <w:p w14:paraId="14D74F4E" w14:textId="4DCB6A55" w:rsidR="002C17E6" w:rsidRDefault="00C75707"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2) DNA probes that consists of labeled reports which are sequence specific. In the scope of this experiment, qRT-PCR is being used to measure a number of different gene expressions, but specifically measuring </w:t>
      </w:r>
      <w:r w:rsidRPr="00C711BB">
        <w:rPr>
          <w:rStyle w:val="Emphasis"/>
          <w:rFonts w:ascii="Times New Roman" w:eastAsia="Times New Roman" w:hAnsi="Times New Roman" w:cs="Times New Roman"/>
          <w:i w:val="0"/>
          <w:color w:val="000000" w:themeColor="text1"/>
          <w:szCs w:val="28"/>
          <w:shd w:val="clear" w:color="auto" w:fill="FFFFFF"/>
        </w:rPr>
        <w:t>β-</w:t>
      </w:r>
      <w:r>
        <w:rPr>
          <w:rStyle w:val="Emphasis"/>
          <w:rFonts w:ascii="Times New Roman" w:eastAsia="Times New Roman" w:hAnsi="Times New Roman" w:cs="Times New Roman"/>
          <w:i w:val="0"/>
          <w:color w:val="000000" w:themeColor="text1"/>
          <w:szCs w:val="28"/>
          <w:shd w:val="clear" w:color="auto" w:fill="FFFFFF"/>
        </w:rPr>
        <w:t xml:space="preserve">globin mRNA, </w:t>
      </w:r>
      <w:r w:rsidR="00D85F2F">
        <w:rPr>
          <w:rStyle w:val="Emphasis"/>
          <w:rFonts w:ascii="Times New Roman" w:eastAsia="Times New Roman" w:hAnsi="Times New Roman" w:cs="Times New Roman"/>
          <w:i w:val="0"/>
          <w:color w:val="000000" w:themeColor="text1"/>
          <w:szCs w:val="28"/>
          <w:shd w:val="clear" w:color="auto" w:fill="FFFFFF"/>
        </w:rPr>
        <w:t xml:space="preserve">KLF1 mRNA, and </w:t>
      </w:r>
      <w:r w:rsidR="00D85F2F">
        <w:rPr>
          <w:rFonts w:ascii="Times New Roman" w:eastAsia="Times New Roman" w:hAnsi="Times New Roman" w:cs="Times New Roman"/>
          <w:color w:val="000000" w:themeColor="text1"/>
          <w:szCs w:val="32"/>
          <w:shd w:val="clear" w:color="auto" w:fill="FFFFFF"/>
        </w:rPr>
        <w:t xml:space="preserve">γ-globin mRNA. However, since the results produced from the qRT-PCR are quantitative, in order to provide a better visual by graphing the trends (if there were any present), it would be effective to provide a control with which to measure the levels of expression against, in this case, cyclophilin A mRNA. </w:t>
      </w:r>
    </w:p>
    <w:p w14:paraId="0E765933"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6D48A91B"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178C57C3"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7BF7A117"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bookmarkStart w:id="0" w:name="_GoBack"/>
      <w:bookmarkEnd w:id="0"/>
    </w:p>
    <w:p w14:paraId="65EBDD20"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248EF283"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7E0F9D7E"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1237A3F2" w14:textId="4F9DEB9D" w:rsidR="00B328F7" w:rsidRDefault="00B328F7" w:rsidP="00B328F7">
      <w:pPr>
        <w:rPr>
          <w:rFonts w:ascii="Times New Roman" w:hAnsi="Times New Roman" w:cs="Times New Roman"/>
          <w:b/>
          <w:sz w:val="32"/>
        </w:rPr>
      </w:pPr>
      <w:r w:rsidRPr="00C711BB">
        <w:rPr>
          <w:rFonts w:ascii="Times New Roman" w:hAnsi="Times New Roman" w:cs="Times New Roman"/>
          <w:b/>
          <w:sz w:val="32"/>
        </w:rPr>
        <w:t>I</w:t>
      </w:r>
      <w:r>
        <w:rPr>
          <w:rFonts w:ascii="Times New Roman" w:hAnsi="Times New Roman" w:cs="Times New Roman"/>
          <w:b/>
          <w:sz w:val="32"/>
        </w:rPr>
        <w:t>II</w:t>
      </w:r>
      <w:r w:rsidRPr="00C711BB">
        <w:rPr>
          <w:rFonts w:ascii="Times New Roman" w:hAnsi="Times New Roman" w:cs="Times New Roman"/>
          <w:b/>
          <w:sz w:val="32"/>
        </w:rPr>
        <w:t>.</w:t>
      </w:r>
      <w:r>
        <w:rPr>
          <w:rFonts w:ascii="Times New Roman" w:hAnsi="Times New Roman" w:cs="Times New Roman"/>
          <w:b/>
          <w:sz w:val="32"/>
        </w:rPr>
        <w:t xml:space="preserve">  Discussion</w:t>
      </w:r>
    </w:p>
    <w:p w14:paraId="230A28CC" w14:textId="7A19E72F" w:rsidR="002C17E6" w:rsidRDefault="002C17E6" w:rsidP="002C17E6">
      <w:pPr>
        <w:spacing w:line="276" w:lineRule="auto"/>
        <w:rPr>
          <w:rFonts w:ascii="Times New Roman" w:eastAsia="Times New Roman" w:hAnsi="Times New Roman" w:cs="Times New Roman"/>
          <w:color w:val="000000" w:themeColor="text1"/>
          <w:szCs w:val="32"/>
          <w:shd w:val="clear" w:color="auto" w:fill="FFFFFF"/>
        </w:rPr>
      </w:pPr>
    </w:p>
    <w:p w14:paraId="57CBDC32" w14:textId="2B0BAC30" w:rsidR="002C17E6" w:rsidRDefault="002C17E6" w:rsidP="002C17E6">
      <w:pPr>
        <w:spacing w:line="276" w:lineRule="auto"/>
        <w:rPr>
          <w:rFonts w:ascii="Times New Roman" w:eastAsia="Times New Roman" w:hAnsi="Times New Roman" w:cs="Times New Roman"/>
          <w:color w:val="000000" w:themeColor="text1"/>
          <w:szCs w:val="32"/>
          <w:shd w:val="clear" w:color="auto" w:fill="FFFFFF"/>
        </w:rPr>
      </w:pPr>
    </w:p>
    <w:p w14:paraId="2E819EA6" w14:textId="1E03B02C" w:rsidR="00F73CC2" w:rsidRDefault="00F73CC2"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If the experiment proposal is followed as such, then hypothetical results I should expect to see are that when KLF1 is knocked down, the activity of LRF/ZBTB7A is reduced and thus γ-globin gene expression levels increase. In order to provide a better visual or schematic of this trend, it may be of note to conduct </w:t>
      </w:r>
      <w:r w:rsidR="002B721C">
        <w:rPr>
          <w:rFonts w:ascii="Times New Roman" w:eastAsia="Times New Roman" w:hAnsi="Times New Roman" w:cs="Times New Roman"/>
          <w:color w:val="000000" w:themeColor="text1"/>
          <w:szCs w:val="32"/>
          <w:shd w:val="clear" w:color="auto" w:fill="FFFFFF"/>
        </w:rPr>
        <w:t>a statistical analysis</w:t>
      </w:r>
      <w:r>
        <w:rPr>
          <w:rFonts w:ascii="Times New Roman" w:eastAsia="Times New Roman" w:hAnsi="Times New Roman" w:cs="Times New Roman"/>
          <w:color w:val="000000" w:themeColor="text1"/>
          <w:szCs w:val="32"/>
          <w:shd w:val="clear" w:color="auto" w:fill="FFFFFF"/>
        </w:rPr>
        <w:t xml:space="preserve">, such as a Pearson’s correlation plot. An example from Vinjamur et al (2016) is provided below to show an example of on such trend that could occur. However, one more unwelcome result that I could possibly receive when conducting this experiment is that the trend between the amount of LRF/ZBTB7A and the ending result of gamma globin may not be as significant as the trend compared to a more prominent repressor, such as BCL11A. Although it is worth noting if LRF/ZBTB7A may act in the same fashion as a gamma globin repressor as BCL11A, but most likely not to the greater effect that BCL11A may have compared to LRF/ZBTB7A. </w:t>
      </w:r>
    </w:p>
    <w:p w14:paraId="24EE49BC" w14:textId="77777777" w:rsidR="00F73CC2" w:rsidRDefault="00F73CC2" w:rsidP="002C17E6">
      <w:pPr>
        <w:spacing w:line="276" w:lineRule="auto"/>
        <w:rPr>
          <w:rFonts w:ascii="Times New Roman" w:eastAsia="Times New Roman" w:hAnsi="Times New Roman" w:cs="Times New Roman"/>
          <w:color w:val="000000" w:themeColor="text1"/>
          <w:szCs w:val="32"/>
          <w:shd w:val="clear" w:color="auto" w:fill="FFFFFF"/>
        </w:rPr>
      </w:pPr>
    </w:p>
    <w:p w14:paraId="648F66A5" w14:textId="2A2E0C11" w:rsidR="00F73CC2" w:rsidRPr="002C17E6" w:rsidRDefault="00F73CC2"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Some pitfalls I may encounter rely mostly on the lentivirus preparation. Instead of knocking down KLF1 with a direct form of genome editing (perhaps from a CRISPR/Cas9 protocol), the use of an outside virus that requires many steps beforehand to prepare for infection can leave room for error, especially since there is a use of three plasmids. A limitation in this experiment is that even if the hypothesis surrounding the underlying proposal proves itself to be true, there are still far many steps to implement the ongoing observations of this mechanisms in order to alleviate symptoms of sickle cell anemia. Although the regulation of this mechanism doesn’t provide a steadfast answer to curing sickle cell disease, it does provide scientists and medical professionals to focus on </w:t>
      </w:r>
      <w:r w:rsidR="00C64366">
        <w:rPr>
          <w:rFonts w:ascii="Times New Roman" w:eastAsia="Times New Roman" w:hAnsi="Times New Roman" w:cs="Times New Roman"/>
          <w:color w:val="000000" w:themeColor="text1"/>
          <w:szCs w:val="32"/>
          <w:shd w:val="clear" w:color="auto" w:fill="FFFFFF"/>
        </w:rPr>
        <w:t xml:space="preserve">gamma globin and possibly increasing it through the manipulation of many different repressors, notably LRF/ZBTB7A. </w:t>
      </w:r>
    </w:p>
    <w:p w14:paraId="72D97DB2" w14:textId="35AE46E0" w:rsidR="00D948B5" w:rsidRDefault="00D948B5" w:rsidP="00C711BB">
      <w:pPr>
        <w:spacing w:line="276" w:lineRule="auto"/>
        <w:rPr>
          <w:rFonts w:ascii="Times New Roman" w:eastAsia="Times New Roman" w:hAnsi="Times New Roman" w:cs="Times New Roman"/>
          <w:color w:val="000000" w:themeColor="text1"/>
          <w:szCs w:val="32"/>
          <w:shd w:val="clear" w:color="auto" w:fill="FFFFFF"/>
        </w:rPr>
      </w:pPr>
    </w:p>
    <w:p w14:paraId="5522059F" w14:textId="1077A8F4" w:rsidR="00621654" w:rsidRDefault="00621654" w:rsidP="00C711BB">
      <w:pPr>
        <w:spacing w:line="276" w:lineRule="auto"/>
        <w:rPr>
          <w:rFonts w:ascii="Times New Roman" w:eastAsia="Times New Roman" w:hAnsi="Times New Roman" w:cs="Times New Roman"/>
          <w:color w:val="000000" w:themeColor="text1"/>
          <w:szCs w:val="32"/>
          <w:shd w:val="clear" w:color="auto" w:fill="FFFFFF"/>
        </w:rPr>
      </w:pPr>
    </w:p>
    <w:p w14:paraId="1957EDF3" w14:textId="77777777" w:rsidR="00621654" w:rsidRPr="00C711BB" w:rsidRDefault="00621654" w:rsidP="00C711BB">
      <w:pPr>
        <w:spacing w:line="276" w:lineRule="auto"/>
        <w:rPr>
          <w:rFonts w:ascii="Times New Roman" w:hAnsi="Times New Roman" w:cs="Times New Roman"/>
        </w:rPr>
      </w:pPr>
    </w:p>
    <w:p w14:paraId="48D07CF2" w14:textId="77777777" w:rsidR="00C711BB" w:rsidRPr="00C711BB" w:rsidRDefault="00C711BB" w:rsidP="00C711BB"/>
    <w:p w14:paraId="035DA0E5" w14:textId="77777777" w:rsidR="004B1171" w:rsidRDefault="004B1171" w:rsidP="004B1171">
      <w:pPr>
        <w:rPr>
          <w:rFonts w:ascii="Times New Roman" w:hAnsi="Times New Roman" w:cs="Times New Roman"/>
          <w:b/>
          <w:sz w:val="28"/>
        </w:rPr>
      </w:pPr>
    </w:p>
    <w:p w14:paraId="4391AD1C" w14:textId="77777777" w:rsidR="00C64366" w:rsidRDefault="00C64366" w:rsidP="004B1171">
      <w:pPr>
        <w:rPr>
          <w:rFonts w:ascii="Times New Roman" w:hAnsi="Times New Roman" w:cs="Times New Roman"/>
          <w:b/>
          <w:sz w:val="28"/>
        </w:rPr>
      </w:pPr>
    </w:p>
    <w:p w14:paraId="46AAE935" w14:textId="77777777" w:rsidR="00C64366" w:rsidRDefault="00C64366" w:rsidP="004B1171">
      <w:pPr>
        <w:rPr>
          <w:rFonts w:ascii="Times New Roman" w:hAnsi="Times New Roman" w:cs="Times New Roman"/>
          <w:b/>
          <w:sz w:val="28"/>
        </w:rPr>
      </w:pPr>
    </w:p>
    <w:p w14:paraId="25C16E85" w14:textId="77777777" w:rsidR="00C64366" w:rsidRDefault="00C64366" w:rsidP="004B1171">
      <w:pPr>
        <w:rPr>
          <w:rFonts w:ascii="Times New Roman" w:hAnsi="Times New Roman" w:cs="Times New Roman"/>
          <w:b/>
          <w:sz w:val="28"/>
        </w:rPr>
      </w:pPr>
    </w:p>
    <w:p w14:paraId="08B9BD1C" w14:textId="77777777" w:rsidR="00C64366" w:rsidRDefault="00C64366" w:rsidP="004B1171">
      <w:pPr>
        <w:rPr>
          <w:rFonts w:ascii="Times New Roman" w:hAnsi="Times New Roman" w:cs="Times New Roman"/>
          <w:b/>
          <w:sz w:val="28"/>
        </w:rPr>
      </w:pPr>
    </w:p>
    <w:p w14:paraId="58989803" w14:textId="77777777" w:rsidR="00C64366" w:rsidRDefault="00C64366" w:rsidP="004B1171">
      <w:pPr>
        <w:rPr>
          <w:rFonts w:ascii="Times New Roman" w:hAnsi="Times New Roman" w:cs="Times New Roman"/>
          <w:b/>
          <w:sz w:val="28"/>
        </w:rPr>
      </w:pPr>
    </w:p>
    <w:p w14:paraId="73892398" w14:textId="77777777" w:rsidR="00C64366" w:rsidRDefault="00C64366" w:rsidP="004B1171">
      <w:pPr>
        <w:rPr>
          <w:rFonts w:ascii="Times New Roman" w:hAnsi="Times New Roman" w:cs="Times New Roman"/>
          <w:b/>
          <w:sz w:val="28"/>
        </w:rPr>
      </w:pPr>
    </w:p>
    <w:p w14:paraId="6F2778A6" w14:textId="77777777" w:rsidR="00C64366" w:rsidRDefault="00C64366" w:rsidP="004B1171">
      <w:pPr>
        <w:rPr>
          <w:rFonts w:ascii="Times New Roman" w:hAnsi="Times New Roman" w:cs="Times New Roman"/>
          <w:b/>
          <w:sz w:val="28"/>
        </w:rPr>
      </w:pPr>
    </w:p>
    <w:p w14:paraId="584C7103" w14:textId="77777777" w:rsidR="00C64366" w:rsidRDefault="00C64366" w:rsidP="004B1171">
      <w:pPr>
        <w:rPr>
          <w:rFonts w:ascii="Times New Roman" w:hAnsi="Times New Roman" w:cs="Times New Roman"/>
          <w:b/>
          <w:sz w:val="28"/>
        </w:rPr>
      </w:pPr>
    </w:p>
    <w:p w14:paraId="079871E9" w14:textId="79D79835" w:rsidR="00C64366" w:rsidRDefault="00C64366" w:rsidP="00C64366">
      <w:pPr>
        <w:jc w:val="center"/>
        <w:rPr>
          <w:rFonts w:ascii="Times New Roman" w:hAnsi="Times New Roman" w:cs="Times New Roman"/>
          <w:b/>
          <w:sz w:val="32"/>
        </w:rPr>
      </w:pPr>
      <w:r>
        <w:rPr>
          <w:rFonts w:ascii="Times New Roman" w:hAnsi="Times New Roman" w:cs="Times New Roman"/>
          <w:b/>
          <w:sz w:val="32"/>
        </w:rPr>
        <w:t>References</w:t>
      </w:r>
    </w:p>
    <w:p w14:paraId="27A180D1" w14:textId="77777777" w:rsidR="00C64366" w:rsidRDefault="00C64366" w:rsidP="00C64366">
      <w:pPr>
        <w:jc w:val="center"/>
        <w:rPr>
          <w:rFonts w:ascii="Times New Roman" w:hAnsi="Times New Roman" w:cs="Times New Roman"/>
          <w:b/>
          <w:sz w:val="32"/>
        </w:rPr>
      </w:pPr>
    </w:p>
    <w:p w14:paraId="5EF711A1" w14:textId="77777777" w:rsidR="00C64366" w:rsidRDefault="00C64366" w:rsidP="00C64366">
      <w:pPr>
        <w:jc w:val="center"/>
        <w:rPr>
          <w:rFonts w:ascii="Times New Roman" w:hAnsi="Times New Roman" w:cs="Times New Roman"/>
          <w:b/>
          <w:sz w:val="32"/>
        </w:rPr>
      </w:pPr>
    </w:p>
    <w:p w14:paraId="476C2860" w14:textId="77777777" w:rsidR="00C64366" w:rsidRDefault="00C64366" w:rsidP="00C64366">
      <w:pPr>
        <w:jc w:val="center"/>
        <w:rPr>
          <w:rFonts w:ascii="Times New Roman" w:hAnsi="Times New Roman" w:cs="Times New Roman"/>
          <w:b/>
          <w:sz w:val="32"/>
        </w:rPr>
      </w:pPr>
    </w:p>
    <w:p w14:paraId="649C371F"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Victor Hoffbrand and Paul A.H. Moss. </w:t>
      </w:r>
      <w:r w:rsidRPr="00C64366">
        <w:rPr>
          <w:rFonts w:ascii="Times New Roman" w:eastAsia="Times New Roman" w:hAnsi="Times New Roman" w:cs="Times New Roman"/>
          <w:i/>
          <w:color w:val="000000" w:themeColor="text1"/>
        </w:rPr>
        <w:t xml:space="preserve">Essential Haematology. </w:t>
      </w:r>
      <w:r w:rsidRPr="00C64366">
        <w:rPr>
          <w:rFonts w:ascii="Times New Roman" w:eastAsia="Times New Roman" w:hAnsi="Times New Roman" w:cs="Times New Roman"/>
          <w:color w:val="000000" w:themeColor="text1"/>
        </w:rPr>
        <w:t xml:space="preserve">WILEY Blackmail. 2011. </w:t>
      </w:r>
    </w:p>
    <w:p w14:paraId="576A8238"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57FB7BE6" w14:textId="77777777" w:rsidR="00C64366" w:rsidRPr="00C64366" w:rsidRDefault="006229BD" w:rsidP="00C64366">
      <w:pPr>
        <w:pStyle w:val="ListParagraph"/>
        <w:numPr>
          <w:ilvl w:val="0"/>
          <w:numId w:val="7"/>
        </w:numPr>
        <w:rPr>
          <w:rFonts w:ascii="Times New Roman" w:eastAsia="Times New Roman" w:hAnsi="Times New Roman" w:cs="Times New Roman"/>
          <w:color w:val="000000" w:themeColor="text1"/>
        </w:rPr>
      </w:pPr>
      <w:hyperlink r:id="rId11" w:tgtFrame="_blank" w:history="1">
        <w:r w:rsidR="00C64366" w:rsidRPr="00C64366">
          <w:rPr>
            <w:rStyle w:val="Hyperlink"/>
            <w:rFonts w:ascii="Times New Roman" w:eastAsia="Times New Roman" w:hAnsi="Times New Roman" w:cs="Times New Roman"/>
            <w:color w:val="000000" w:themeColor="text1"/>
            <w:u w:val="none"/>
          </w:rPr>
          <w:t>Yawn BP, Buchanan GR, Afenyi-Annan AN, et al</w:t>
        </w:r>
      </w:hyperlink>
      <w:r w:rsidR="00C64366" w:rsidRPr="00C64366">
        <w:rPr>
          <w:rFonts w:ascii="Times New Roman" w:eastAsia="Times New Roman" w:hAnsi="Times New Roman" w:cs="Times New Roman"/>
          <w:color w:val="000000" w:themeColor="text1"/>
          <w:shd w:val="clear" w:color="auto" w:fill="F7F7FA"/>
        </w:rPr>
        <w:t>; Management of sickle cell disease: summary of the 2014 evidence-based report by expert panel members. JAMA. 2014 Sep 10312(10):1033-48. doi: 10.1001/jama.2014.10517.</w:t>
      </w:r>
    </w:p>
    <w:p w14:paraId="5E7953A3" w14:textId="77777777" w:rsidR="00C64366" w:rsidRPr="00C64366" w:rsidRDefault="00C64366" w:rsidP="00C64366">
      <w:pPr>
        <w:rPr>
          <w:rFonts w:ascii="Times New Roman" w:eastAsia="Times New Roman" w:hAnsi="Times New Roman" w:cs="Times New Roman"/>
          <w:color w:val="000000" w:themeColor="text1"/>
        </w:rPr>
      </w:pPr>
    </w:p>
    <w:p w14:paraId="2C128B5E"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5CD0603" w14:textId="77777777" w:rsidR="00C64366" w:rsidRP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shd w:val="clear" w:color="auto" w:fill="FFFFFF"/>
        </w:rPr>
        <w:t>Porter JB, Shah FT 2010. </w:t>
      </w:r>
      <w:r w:rsidRPr="00C64366">
        <w:rPr>
          <w:rStyle w:val="ref-title"/>
          <w:rFonts w:ascii="Times New Roman" w:eastAsia="Times New Roman" w:hAnsi="Times New Roman" w:cs="Times New Roman"/>
          <w:color w:val="000000" w:themeColor="text1"/>
          <w:shd w:val="clear" w:color="auto" w:fill="FFFFFF"/>
        </w:rPr>
        <w:t>Iron overload in thalassemia and related conditions: Therapeutic goals and assessment of response to chelation therapies</w:t>
      </w:r>
      <w:r w:rsidRPr="00C64366">
        <w:rPr>
          <w:rFonts w:ascii="Times New Roman" w:eastAsia="Times New Roman" w:hAnsi="Times New Roman" w:cs="Times New Roman"/>
          <w:color w:val="000000" w:themeColor="text1"/>
          <w:shd w:val="clear" w:color="auto" w:fill="FFFFFF"/>
        </w:rPr>
        <w:t>. </w:t>
      </w:r>
      <w:r w:rsidRPr="00C64366">
        <w:rPr>
          <w:rStyle w:val="ref-journal"/>
          <w:rFonts w:ascii="Times New Roman" w:eastAsia="Times New Roman" w:hAnsi="Times New Roman" w:cs="Times New Roman"/>
          <w:color w:val="000000" w:themeColor="text1"/>
          <w:shd w:val="clear" w:color="auto" w:fill="FFFFFF"/>
        </w:rPr>
        <w:t>Hematol Oncol Clin North Am</w:t>
      </w:r>
      <w:r w:rsidRPr="00C64366">
        <w:rPr>
          <w:rFonts w:ascii="Times New Roman" w:eastAsia="Times New Roman" w:hAnsi="Times New Roman" w:cs="Times New Roman"/>
          <w:color w:val="000000" w:themeColor="text1"/>
          <w:shd w:val="clear" w:color="auto" w:fill="FFFFFF"/>
        </w:rPr>
        <w:t> </w:t>
      </w:r>
      <w:r w:rsidRPr="00C64366">
        <w:rPr>
          <w:rStyle w:val="ref-vol"/>
          <w:rFonts w:ascii="Times New Roman" w:eastAsia="Times New Roman" w:hAnsi="Times New Roman" w:cs="Times New Roman"/>
          <w:color w:val="000000" w:themeColor="text1"/>
          <w:shd w:val="clear" w:color="auto" w:fill="FFFFFF"/>
        </w:rPr>
        <w:t>24</w:t>
      </w:r>
      <w:r w:rsidRPr="00C64366">
        <w:rPr>
          <w:rFonts w:ascii="Times New Roman" w:eastAsia="Times New Roman" w:hAnsi="Times New Roman" w:cs="Times New Roman"/>
          <w:color w:val="000000" w:themeColor="text1"/>
          <w:shd w:val="clear" w:color="auto" w:fill="FFFFFF"/>
        </w:rPr>
        <w:t>: 1109–1130</w:t>
      </w:r>
    </w:p>
    <w:p w14:paraId="58B77693"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056C8AAB"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Sankaran VG &amp; Orkin SH (2013). The Switch from Fetal to Adult Hemoglobin. Cold Spring Harb Perspect Med. 3(1):a011643. doi: 10.1101/cshperspect.a011643</w:t>
      </w:r>
    </w:p>
    <w:p w14:paraId="4A906554" w14:textId="77777777" w:rsidR="00C64366" w:rsidRPr="00C64366" w:rsidRDefault="00C64366" w:rsidP="00C64366">
      <w:pPr>
        <w:rPr>
          <w:rFonts w:ascii="Times New Roman" w:eastAsia="Times New Roman" w:hAnsi="Times New Roman" w:cs="Times New Roman"/>
          <w:color w:val="000000" w:themeColor="text1"/>
        </w:rPr>
      </w:pPr>
    </w:p>
    <w:p w14:paraId="114CCE3B"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301072FA" w14:textId="77777777" w:rsidR="00C64366" w:rsidRDefault="006229BD" w:rsidP="00C64366">
      <w:pPr>
        <w:pStyle w:val="ListParagraph"/>
        <w:numPr>
          <w:ilvl w:val="0"/>
          <w:numId w:val="7"/>
        </w:numPr>
        <w:rPr>
          <w:rFonts w:ascii="Times New Roman" w:eastAsia="Times New Roman" w:hAnsi="Times New Roman" w:cs="Times New Roman"/>
          <w:color w:val="000000" w:themeColor="text1"/>
        </w:rPr>
      </w:pPr>
      <w:hyperlink r:id="rId12" w:history="1">
        <w:r w:rsidR="00C64366" w:rsidRPr="00C64366">
          <w:rPr>
            <w:rStyle w:val="Hyperlink"/>
            <w:rFonts w:ascii="Times New Roman" w:eastAsia="Times New Roman" w:hAnsi="Times New Roman" w:cs="Times New Roman"/>
            <w:color w:val="000000" w:themeColor="text1"/>
            <w:u w:val="none"/>
          </w:rPr>
          <w:t>https://www.cdc.gov/ncbddd/sicklecell/treatments.html</w:t>
        </w:r>
      </w:hyperlink>
    </w:p>
    <w:p w14:paraId="257F181D"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0217A4C9"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Sokolova A, Mararenko A, Rozin A, Podrumar A, Gotlieb V (2019).  Hereditary persistence of hemoglobin F is protective against red cell sickling. A case report and brief review. Hematol Oncol Stem Cell Ther. 215-219. doi: </w:t>
      </w:r>
      <w:hyperlink r:id="rId13" w:history="1">
        <w:r w:rsidRPr="00C64366">
          <w:rPr>
            <w:rStyle w:val="Hyperlink"/>
            <w:rFonts w:ascii="Times New Roman" w:eastAsia="Times New Roman" w:hAnsi="Times New Roman" w:cs="Times New Roman"/>
            <w:color w:val="000000" w:themeColor="text1"/>
            <w:u w:val="none"/>
          </w:rPr>
          <w:t>https://doi.org/10.1016/j.hemonc.2017.09.003</w:t>
        </w:r>
      </w:hyperlink>
    </w:p>
    <w:p w14:paraId="2A064508" w14:textId="77777777" w:rsidR="00C64366" w:rsidRPr="00C64366" w:rsidRDefault="00C64366" w:rsidP="00C64366">
      <w:pPr>
        <w:rPr>
          <w:rFonts w:ascii="Times New Roman" w:eastAsia="Times New Roman" w:hAnsi="Times New Roman" w:cs="Times New Roman"/>
          <w:color w:val="000000" w:themeColor="text1"/>
        </w:rPr>
      </w:pPr>
    </w:p>
    <w:p w14:paraId="17CCE1FC"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0195CD4" w14:textId="77777777" w:rsidR="00C64366" w:rsidRPr="00C64366" w:rsidRDefault="00C64366" w:rsidP="00C64366">
      <w:pPr>
        <w:pStyle w:val="ListParagraph"/>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   </w:t>
      </w:r>
    </w:p>
    <w:p w14:paraId="480B187E" w14:textId="79395D6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Orkin S, Bauer D (2019). Emerging Genetic Therapy for Sickle Cell Disease. Annual Review of Medicine. 70:257-271. Doi: </w:t>
      </w:r>
      <w:hyperlink r:id="rId14" w:history="1">
        <w:r w:rsidRPr="00CC7D4D">
          <w:rPr>
            <w:rStyle w:val="Hyperlink"/>
            <w:rFonts w:ascii="Times New Roman" w:eastAsia="Times New Roman" w:hAnsi="Times New Roman" w:cs="Times New Roman"/>
          </w:rPr>
          <w:t>https://doi.org/10.1146/annurev-med-041817-125507</w:t>
        </w:r>
      </w:hyperlink>
    </w:p>
    <w:p w14:paraId="43375FE5"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CB784B2"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Xu J, Sankaran VG, Ni M, Menne TF, Puram RV, Kim W, Orkin SH. 2010. Transcriptional silencing of y-globin by BCL11A involves long-range ineractions and cooperation with SOX6. Genes &amp; Dev. 24:783-798. </w:t>
      </w:r>
    </w:p>
    <w:p w14:paraId="517FB80D" w14:textId="77777777" w:rsidR="00C64366" w:rsidRPr="00C64366" w:rsidRDefault="00C64366" w:rsidP="00C64366">
      <w:pPr>
        <w:rPr>
          <w:rFonts w:ascii="Times New Roman" w:eastAsia="Times New Roman" w:hAnsi="Times New Roman" w:cs="Times New Roman"/>
          <w:color w:val="000000" w:themeColor="text1"/>
        </w:rPr>
      </w:pPr>
    </w:p>
    <w:p w14:paraId="2E5A190C"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4B9CC9B2" w14:textId="495FB4A5" w:rsidR="00C64366" w:rsidRPr="00C64366" w:rsidRDefault="00C64366" w:rsidP="00C64366">
      <w:pPr>
        <w:pStyle w:val="ListParagraph"/>
        <w:numPr>
          <w:ilvl w:val="0"/>
          <w:numId w:val="7"/>
        </w:numPr>
        <w:rPr>
          <w:rFonts w:ascii="Times New Roman" w:eastAsia="Times New Roman" w:hAnsi="Times New Roman" w:cs="Times New Roman"/>
        </w:rPr>
      </w:pPr>
      <w:r w:rsidRPr="00C64366">
        <w:rPr>
          <w:rFonts w:ascii="Times New Roman" w:eastAsia="Times New Roman" w:hAnsi="Times New Roman" w:cs="Times New Roman"/>
          <w:color w:val="222222"/>
          <w:shd w:val="clear" w:color="auto" w:fill="FFFFFF"/>
        </w:rPr>
        <w:t>Zhou, D., Liu, K., Sun, C. </w:t>
      </w:r>
      <w:r w:rsidRPr="00C64366">
        <w:rPr>
          <w:rFonts w:ascii="Times New Roman" w:eastAsia="Times New Roman" w:hAnsi="Times New Roman" w:cs="Times New Roman"/>
          <w:i/>
          <w:iCs/>
          <w:color w:val="222222"/>
          <w:shd w:val="clear" w:color="auto" w:fill="FFFFFF"/>
        </w:rPr>
        <w:t>et al.</w:t>
      </w:r>
      <w:r w:rsidRPr="00C64366">
        <w:rPr>
          <w:rFonts w:ascii="Times New Roman" w:eastAsia="Times New Roman" w:hAnsi="Times New Roman" w:cs="Times New Roman"/>
          <w:color w:val="222222"/>
          <w:shd w:val="clear" w:color="auto" w:fill="FFFFFF"/>
        </w:rPr>
        <w:t> KLF1 regulates BCL11A expression and γ- to β-globin gene switching. </w:t>
      </w:r>
      <w:r w:rsidRPr="00C64366">
        <w:rPr>
          <w:rFonts w:ascii="Times New Roman" w:eastAsia="Times New Roman" w:hAnsi="Times New Roman" w:cs="Times New Roman"/>
          <w:i/>
          <w:iCs/>
          <w:color w:val="222222"/>
          <w:shd w:val="clear" w:color="auto" w:fill="FFFFFF"/>
        </w:rPr>
        <w:t>Nat Genet</w:t>
      </w:r>
      <w:r w:rsidRPr="00C64366">
        <w:rPr>
          <w:rFonts w:ascii="Times New Roman" w:eastAsia="Times New Roman" w:hAnsi="Times New Roman" w:cs="Times New Roman"/>
          <w:color w:val="222222"/>
          <w:shd w:val="clear" w:color="auto" w:fill="FFFFFF"/>
        </w:rPr>
        <w:t> </w:t>
      </w:r>
      <w:r w:rsidRPr="00C64366">
        <w:rPr>
          <w:rFonts w:ascii="Times New Roman" w:eastAsia="Times New Roman" w:hAnsi="Times New Roman" w:cs="Times New Roman"/>
          <w:b/>
          <w:bCs/>
          <w:color w:val="222222"/>
          <w:shd w:val="clear" w:color="auto" w:fill="FFFFFF"/>
        </w:rPr>
        <w:t>42, </w:t>
      </w:r>
      <w:r w:rsidRPr="00C64366">
        <w:rPr>
          <w:rFonts w:ascii="Times New Roman" w:eastAsia="Times New Roman" w:hAnsi="Times New Roman" w:cs="Times New Roman"/>
          <w:color w:val="222222"/>
          <w:shd w:val="clear" w:color="auto" w:fill="FFFFFF"/>
        </w:rPr>
        <w:t>742–744 (2010) doi:10.1038/ng.637</w:t>
      </w:r>
    </w:p>
    <w:p w14:paraId="27AF7259" w14:textId="77777777" w:rsidR="00C64366" w:rsidRPr="00C64366" w:rsidRDefault="00C64366" w:rsidP="00C64366">
      <w:pPr>
        <w:pStyle w:val="ListParagraph"/>
        <w:rPr>
          <w:rFonts w:ascii="Times New Roman" w:eastAsia="Times New Roman" w:hAnsi="Times New Roman" w:cs="Times New Roman"/>
        </w:rPr>
      </w:pPr>
    </w:p>
    <w:p w14:paraId="77A1FA7A" w14:textId="77777777" w:rsidR="00C64366" w:rsidRPr="00C64366" w:rsidRDefault="00C64366" w:rsidP="00C64366">
      <w:pPr>
        <w:ind w:left="360"/>
        <w:rPr>
          <w:rFonts w:ascii="Times New Roman" w:eastAsia="Times New Roman" w:hAnsi="Times New Roman" w:cs="Times New Roman"/>
        </w:rPr>
      </w:pPr>
    </w:p>
    <w:p w14:paraId="1B55D161" w14:textId="21A3E5B1" w:rsidR="00C64366" w:rsidRPr="00F63A4A" w:rsidRDefault="00C64366" w:rsidP="00C64366">
      <w:pPr>
        <w:pStyle w:val="ListParagraph"/>
        <w:numPr>
          <w:ilvl w:val="0"/>
          <w:numId w:val="7"/>
        </w:numPr>
        <w:rPr>
          <w:rFonts w:ascii="Times New Roman" w:hAnsi="Times New Roman" w:cs="Times New Roman"/>
          <w:b/>
        </w:rPr>
      </w:pPr>
      <w:r>
        <w:rPr>
          <w:rFonts w:ascii="Times New Roman" w:hAnsi="Times New Roman" w:cs="Times New Roman"/>
        </w:rPr>
        <w:t xml:space="preserve">Masuda et al (2016). Transcription factors LRF and BCL11A independently repress expression of fetal hemoglobin. </w:t>
      </w:r>
      <w:r>
        <w:rPr>
          <w:rFonts w:ascii="Times New Roman" w:hAnsi="Times New Roman" w:cs="Times New Roman"/>
          <w:i/>
        </w:rPr>
        <w:t xml:space="preserve">Science. </w:t>
      </w:r>
      <w:r>
        <w:rPr>
          <w:rFonts w:ascii="Times New Roman" w:hAnsi="Times New Roman" w:cs="Times New Roman"/>
        </w:rPr>
        <w:t xml:space="preserve">351(6270): 285-289. </w:t>
      </w:r>
    </w:p>
    <w:p w14:paraId="17146CF8" w14:textId="77777777" w:rsidR="00F63A4A" w:rsidRPr="00F63A4A" w:rsidRDefault="00F63A4A" w:rsidP="00F63A4A">
      <w:pPr>
        <w:ind w:left="360"/>
        <w:rPr>
          <w:rFonts w:ascii="Times New Roman" w:hAnsi="Times New Roman" w:cs="Times New Roman"/>
          <w:b/>
        </w:rPr>
      </w:pPr>
    </w:p>
    <w:p w14:paraId="29B47DF4" w14:textId="77777777" w:rsidR="00F63A4A" w:rsidRPr="00F63A4A" w:rsidRDefault="00F63A4A" w:rsidP="00F63A4A">
      <w:pPr>
        <w:pStyle w:val="ListParagraph"/>
        <w:numPr>
          <w:ilvl w:val="0"/>
          <w:numId w:val="7"/>
        </w:numPr>
        <w:rPr>
          <w:rFonts w:ascii="Times New Roman" w:eastAsia="Times New Roman" w:hAnsi="Times New Roman" w:cs="Times New Roman"/>
        </w:rPr>
      </w:pPr>
      <w:r w:rsidRPr="00F63A4A">
        <w:rPr>
          <w:rFonts w:ascii="Times New Roman" w:hAnsi="Times New Roman" w:cs="Times New Roman"/>
        </w:rPr>
        <w:t xml:space="preserve">Keefe E. Nucleic Acid Delivery: Lentiviral and Retroviral Vectors. Materials and Methods. ISSN:2329-5139. doi: </w:t>
      </w:r>
      <w:r w:rsidRPr="00F63A4A">
        <w:rPr>
          <w:rFonts w:ascii="Times New Roman" w:eastAsia="Times New Roman" w:hAnsi="Times New Roman" w:cs="Times New Roman"/>
          <w:color w:val="333333"/>
          <w:shd w:val="clear" w:color="auto" w:fill="FFFFFF"/>
        </w:rPr>
        <w:t>//dx.doi.org/10.13070/mm.en.3.174</w:t>
      </w:r>
    </w:p>
    <w:p w14:paraId="44AE7A1C" w14:textId="77777777" w:rsidR="00F63A4A" w:rsidRPr="00F63A4A" w:rsidRDefault="00F63A4A" w:rsidP="00F63A4A">
      <w:pPr>
        <w:rPr>
          <w:rFonts w:ascii="Times New Roman" w:eastAsia="Times New Roman" w:hAnsi="Times New Roman" w:cs="Times New Roman"/>
        </w:rPr>
      </w:pPr>
    </w:p>
    <w:p w14:paraId="3DC188EB" w14:textId="77777777" w:rsidR="00F63A4A" w:rsidRPr="00F63A4A" w:rsidRDefault="00F63A4A" w:rsidP="00F63A4A">
      <w:pPr>
        <w:pStyle w:val="ListParagraph"/>
        <w:rPr>
          <w:rFonts w:ascii="Times New Roman" w:eastAsia="Times New Roman" w:hAnsi="Times New Roman" w:cs="Times New Roman"/>
        </w:rPr>
      </w:pPr>
    </w:p>
    <w:p w14:paraId="1321362A" w14:textId="77777777" w:rsidR="00F63A4A" w:rsidRDefault="00F63A4A" w:rsidP="00F63A4A">
      <w:pPr>
        <w:pStyle w:val="ListParagraph"/>
        <w:numPr>
          <w:ilvl w:val="0"/>
          <w:numId w:val="7"/>
        </w:numPr>
        <w:rPr>
          <w:rFonts w:ascii="Times New Roman" w:hAnsi="Times New Roman" w:cs="Times New Roman"/>
        </w:rPr>
      </w:pPr>
      <w:r>
        <w:rPr>
          <w:rFonts w:ascii="Times New Roman" w:hAnsi="Times New Roman" w:cs="Times New Roman"/>
          <w:b/>
        </w:rPr>
        <w:t xml:space="preserve"> </w:t>
      </w:r>
      <w:r w:rsidRPr="00F63A4A">
        <w:rPr>
          <w:rFonts w:ascii="Times New Roman" w:hAnsi="Times New Roman" w:cs="Times New Roman"/>
        </w:rPr>
        <w:t>Vinjamur DS, Alhashem YN, Mohamad SF, Amin P, Williams DC, Jr., Lloyd JA (2016) Krüppel- Like Transcription Factor KLF1 Is Required for Optimal γ- and β-Globin Expression in Human Fetal Erythroblasts. PLoS ONE 11(2): e0146802. doi:10.1371/journal.pone.0146802</w:t>
      </w:r>
    </w:p>
    <w:p w14:paraId="04B05D59" w14:textId="77777777" w:rsidR="00F63A4A" w:rsidRPr="00F63A4A" w:rsidRDefault="00F63A4A" w:rsidP="00F63A4A">
      <w:pPr>
        <w:ind w:left="360"/>
        <w:rPr>
          <w:rFonts w:ascii="Times New Roman" w:hAnsi="Times New Roman" w:cs="Times New Roman"/>
        </w:rPr>
      </w:pPr>
    </w:p>
    <w:p w14:paraId="2CB9B60B" w14:textId="77777777" w:rsidR="00F63A4A" w:rsidRDefault="00F63A4A" w:rsidP="00F63A4A">
      <w:pPr>
        <w:pStyle w:val="ListParagraph"/>
        <w:numPr>
          <w:ilvl w:val="0"/>
          <w:numId w:val="7"/>
        </w:numPr>
        <w:rPr>
          <w:rFonts w:ascii="Times New Roman" w:eastAsia="Times New Roman" w:hAnsi="Times New Roman" w:cs="Times New Roman"/>
        </w:rPr>
      </w:pPr>
      <w:r w:rsidRPr="00F63A4A">
        <w:rPr>
          <w:rFonts w:ascii="Times New Roman" w:hAnsi="Times New Roman" w:cs="Times New Roman"/>
        </w:rPr>
        <w:t xml:space="preserve">Garibyan L, Avashia N. (2013). Research Techniques Made Simple: Polymerase Chain Reaction (PCR). J Invest Dermatol. 133(3):e6. </w:t>
      </w:r>
      <w:r w:rsidRPr="00F63A4A">
        <w:rPr>
          <w:rFonts w:ascii="Times New Roman" w:eastAsia="Times New Roman" w:hAnsi="Times New Roman" w:cs="Times New Roman"/>
        </w:rPr>
        <w:t>doi:10.1038/jid.2013.1.</w:t>
      </w:r>
    </w:p>
    <w:p w14:paraId="3CB56063" w14:textId="77777777" w:rsidR="00F63A4A" w:rsidRPr="00F63A4A" w:rsidRDefault="00F63A4A" w:rsidP="00F63A4A">
      <w:pPr>
        <w:rPr>
          <w:rFonts w:ascii="Times New Roman" w:eastAsia="Times New Roman" w:hAnsi="Times New Roman" w:cs="Times New Roman"/>
          <w:sz w:val="36"/>
        </w:rPr>
      </w:pPr>
    </w:p>
    <w:p w14:paraId="696DEE22" w14:textId="3CAA5D16" w:rsidR="00F63A4A" w:rsidRPr="00F63A4A" w:rsidRDefault="00F63A4A" w:rsidP="00F63A4A">
      <w:pPr>
        <w:rPr>
          <w:rFonts w:ascii="Times New Roman" w:eastAsia="Times New Roman" w:hAnsi="Times New Roman" w:cs="Times New Roman"/>
          <w:sz w:val="36"/>
        </w:rPr>
      </w:pPr>
      <w:r w:rsidRPr="00F63A4A">
        <w:rPr>
          <w:rFonts w:ascii="Times New Roman" w:eastAsia="Times New Roman" w:hAnsi="Times New Roman" w:cs="Times New Roman"/>
          <w:color w:val="303030"/>
          <w:szCs w:val="20"/>
          <w:shd w:val="clear" w:color="auto" w:fill="FFFFFF"/>
        </w:rPr>
        <w:t xml:space="preserve">   </w:t>
      </w:r>
      <w:r>
        <w:rPr>
          <w:rFonts w:ascii="Times New Roman" w:eastAsia="Times New Roman" w:hAnsi="Times New Roman" w:cs="Times New Roman"/>
          <w:color w:val="303030"/>
          <w:szCs w:val="20"/>
          <w:shd w:val="clear" w:color="auto" w:fill="FFFFFF"/>
        </w:rPr>
        <w:t xml:space="preserve">   14. </w:t>
      </w:r>
      <w:r w:rsidRPr="00F63A4A">
        <w:rPr>
          <w:rFonts w:ascii="Times New Roman" w:eastAsia="Times New Roman" w:hAnsi="Times New Roman" w:cs="Times New Roman"/>
          <w:color w:val="303030"/>
          <w:szCs w:val="20"/>
          <w:shd w:val="clear" w:color="auto" w:fill="FFFFFF"/>
        </w:rPr>
        <w:t xml:space="preserve">Norton LJ, Funnell APW, Burdach J, et al. KLF1 directly activates expression of the </w:t>
      </w:r>
      <w:r w:rsidR="00431BB2">
        <w:rPr>
          <w:rFonts w:ascii="Times New Roman" w:eastAsia="Times New Roman" w:hAnsi="Times New Roman" w:cs="Times New Roman"/>
          <w:color w:val="303030"/>
          <w:szCs w:val="20"/>
          <w:shd w:val="clear" w:color="auto" w:fill="FFFFFF"/>
        </w:rPr>
        <w:t xml:space="preserve">        </w:t>
      </w:r>
      <w:r w:rsidRPr="00F63A4A">
        <w:rPr>
          <w:rFonts w:ascii="Times New Roman" w:eastAsia="Times New Roman" w:hAnsi="Times New Roman" w:cs="Times New Roman"/>
          <w:color w:val="303030"/>
          <w:szCs w:val="20"/>
          <w:shd w:val="clear" w:color="auto" w:fill="FFFFFF"/>
        </w:rPr>
        <w:t>novel fetal globin repressor </w:t>
      </w:r>
      <w:r w:rsidRPr="00F63A4A">
        <w:rPr>
          <w:rFonts w:ascii="Times New Roman" w:eastAsia="Times New Roman" w:hAnsi="Times New Roman" w:cs="Times New Roman"/>
          <w:i/>
          <w:iCs/>
          <w:color w:val="303030"/>
          <w:szCs w:val="20"/>
          <w:shd w:val="clear" w:color="auto" w:fill="FFFFFF"/>
        </w:rPr>
        <w:t>ZBTB7A/LRF</w:t>
      </w:r>
      <w:r w:rsidRPr="00F63A4A">
        <w:rPr>
          <w:rFonts w:ascii="Times New Roman" w:eastAsia="Times New Roman" w:hAnsi="Times New Roman" w:cs="Times New Roman"/>
          <w:color w:val="303030"/>
          <w:szCs w:val="20"/>
          <w:shd w:val="clear" w:color="auto" w:fill="FFFFFF"/>
        </w:rPr>
        <w:t> in erythroid cells. </w:t>
      </w:r>
      <w:r w:rsidRPr="00F63A4A">
        <w:rPr>
          <w:rFonts w:ascii="Times New Roman" w:eastAsia="Times New Roman" w:hAnsi="Times New Roman" w:cs="Times New Roman"/>
          <w:i/>
          <w:iCs/>
          <w:color w:val="303030"/>
          <w:szCs w:val="20"/>
          <w:shd w:val="clear" w:color="auto" w:fill="FFFFFF"/>
        </w:rPr>
        <w:t>Blood Adv</w:t>
      </w:r>
      <w:r w:rsidRPr="00F63A4A">
        <w:rPr>
          <w:rFonts w:ascii="Times New Roman" w:eastAsia="Times New Roman" w:hAnsi="Times New Roman" w:cs="Times New Roman"/>
          <w:color w:val="303030"/>
          <w:szCs w:val="20"/>
          <w:shd w:val="clear" w:color="auto" w:fill="FFFFFF"/>
        </w:rPr>
        <w:t>. 2017;1(11):685–692. Published 2017 Apr 25. doi:10.1182/bloodadvances.2016002303</w:t>
      </w:r>
    </w:p>
    <w:p w14:paraId="503FDAB0" w14:textId="77777777" w:rsidR="00F63A4A" w:rsidRPr="00F63A4A" w:rsidRDefault="00F63A4A" w:rsidP="00F63A4A">
      <w:pPr>
        <w:ind w:left="360"/>
        <w:rPr>
          <w:rFonts w:ascii="Times New Roman" w:eastAsia="Times New Roman" w:hAnsi="Times New Roman" w:cs="Times New Roman"/>
        </w:rPr>
      </w:pPr>
    </w:p>
    <w:p w14:paraId="366C8A76" w14:textId="77777777" w:rsidR="00F63A4A" w:rsidRPr="00F63A4A" w:rsidRDefault="00F63A4A" w:rsidP="00F63A4A">
      <w:pPr>
        <w:rPr>
          <w:rFonts w:ascii="Times New Roman" w:eastAsia="Times New Roman" w:hAnsi="Times New Roman" w:cs="Times New Roman"/>
        </w:rPr>
      </w:pPr>
    </w:p>
    <w:p w14:paraId="180FEFBB" w14:textId="77777777" w:rsidR="00F63A4A" w:rsidRPr="00F63A4A" w:rsidRDefault="00F63A4A" w:rsidP="00F63A4A">
      <w:pPr>
        <w:pStyle w:val="ListParagraph"/>
        <w:rPr>
          <w:rFonts w:ascii="Times New Roman" w:eastAsia="Times New Roman" w:hAnsi="Times New Roman" w:cs="Times New Roman"/>
        </w:rPr>
      </w:pPr>
    </w:p>
    <w:p w14:paraId="10C278E8" w14:textId="77777777" w:rsidR="00C64366" w:rsidRPr="00C64366" w:rsidRDefault="00C64366" w:rsidP="00F63A4A">
      <w:pPr>
        <w:pStyle w:val="ListParagraph"/>
        <w:rPr>
          <w:rFonts w:ascii="Times New Roman" w:hAnsi="Times New Roman" w:cs="Times New Roman"/>
          <w:b/>
        </w:rPr>
      </w:pPr>
    </w:p>
    <w:p w14:paraId="68F72E35" w14:textId="35A689F3" w:rsidR="00C64366" w:rsidRPr="00F63A4A" w:rsidRDefault="00C64366" w:rsidP="00F63A4A">
      <w:pPr>
        <w:ind w:left="360"/>
        <w:rPr>
          <w:rFonts w:ascii="Times New Roman" w:hAnsi="Times New Roman" w:cs="Times New Roman"/>
          <w:b/>
          <w:sz w:val="28"/>
        </w:rPr>
      </w:pPr>
    </w:p>
    <w:p w14:paraId="6DB491F3" w14:textId="77777777" w:rsidR="00C64366" w:rsidRDefault="00C64366" w:rsidP="004B1171">
      <w:pPr>
        <w:rPr>
          <w:rFonts w:ascii="Times New Roman" w:hAnsi="Times New Roman" w:cs="Times New Roman"/>
          <w:b/>
          <w:sz w:val="28"/>
        </w:rPr>
      </w:pPr>
    </w:p>
    <w:p w14:paraId="43500A4B" w14:textId="77777777" w:rsidR="00C64366" w:rsidRDefault="00C64366" w:rsidP="004B1171">
      <w:pPr>
        <w:rPr>
          <w:rFonts w:ascii="Times New Roman" w:hAnsi="Times New Roman" w:cs="Times New Roman"/>
          <w:b/>
          <w:sz w:val="28"/>
        </w:rPr>
      </w:pPr>
    </w:p>
    <w:p w14:paraId="70A7B230" w14:textId="77777777" w:rsidR="00C64366" w:rsidRDefault="00C64366" w:rsidP="004B1171">
      <w:pPr>
        <w:rPr>
          <w:rFonts w:ascii="Times New Roman" w:hAnsi="Times New Roman" w:cs="Times New Roman"/>
          <w:b/>
          <w:sz w:val="28"/>
        </w:rPr>
      </w:pPr>
    </w:p>
    <w:p w14:paraId="6C6BDE8F" w14:textId="77777777" w:rsidR="00C64366" w:rsidRDefault="00C64366" w:rsidP="004B1171">
      <w:pPr>
        <w:rPr>
          <w:rFonts w:ascii="Times New Roman" w:hAnsi="Times New Roman" w:cs="Times New Roman"/>
          <w:b/>
          <w:sz w:val="28"/>
        </w:rPr>
      </w:pPr>
    </w:p>
    <w:p w14:paraId="01460F5C" w14:textId="77777777" w:rsidR="00C64366" w:rsidRDefault="00C64366" w:rsidP="004B1171">
      <w:pPr>
        <w:rPr>
          <w:rFonts w:ascii="Times New Roman" w:hAnsi="Times New Roman" w:cs="Times New Roman"/>
          <w:b/>
          <w:sz w:val="28"/>
        </w:rPr>
      </w:pPr>
    </w:p>
    <w:p w14:paraId="77C7F630" w14:textId="77777777" w:rsidR="00C64366" w:rsidRDefault="00C64366" w:rsidP="004B1171">
      <w:pPr>
        <w:rPr>
          <w:rFonts w:ascii="Times New Roman" w:hAnsi="Times New Roman" w:cs="Times New Roman"/>
          <w:b/>
          <w:sz w:val="28"/>
        </w:rPr>
      </w:pPr>
    </w:p>
    <w:p w14:paraId="4D3C915D" w14:textId="77777777" w:rsidR="00C64366" w:rsidRPr="004B1171" w:rsidRDefault="00C64366" w:rsidP="004B1171">
      <w:pPr>
        <w:rPr>
          <w:rFonts w:ascii="Times New Roman" w:hAnsi="Times New Roman" w:cs="Times New Roman"/>
          <w:b/>
          <w:sz w:val="28"/>
        </w:rPr>
      </w:pPr>
    </w:p>
    <w:sectPr w:rsidR="00C64366" w:rsidRPr="004B1171" w:rsidSect="007A641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5E8CA" w14:textId="77777777" w:rsidR="006229BD" w:rsidRDefault="006229BD" w:rsidP="002B721C">
      <w:r>
        <w:separator/>
      </w:r>
    </w:p>
  </w:endnote>
  <w:endnote w:type="continuationSeparator" w:id="0">
    <w:p w14:paraId="5CB16B21" w14:textId="77777777" w:rsidR="006229BD" w:rsidRDefault="006229BD" w:rsidP="002B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9D734" w14:textId="77777777" w:rsidR="006229BD" w:rsidRDefault="006229BD" w:rsidP="002B721C">
      <w:r>
        <w:separator/>
      </w:r>
    </w:p>
  </w:footnote>
  <w:footnote w:type="continuationSeparator" w:id="0">
    <w:p w14:paraId="2693C9CC" w14:textId="77777777" w:rsidR="006229BD" w:rsidRDefault="006229BD" w:rsidP="002B72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4C48" w14:textId="711C3D30" w:rsidR="002B721C" w:rsidRPr="002B721C" w:rsidRDefault="002B721C">
    <w:pPr>
      <w:pStyle w:val="Header"/>
      <w:rPr>
        <w:rFonts w:ascii="Times New Roman" w:hAnsi="Times New Roman" w:cs="Times New Roman"/>
      </w:rPr>
    </w:pPr>
    <w:r>
      <w:rPr>
        <w:rFonts w:ascii="Times New Roman" w:hAnsi="Times New Roman" w:cs="Times New Roman"/>
      </w:rPr>
      <w:t>Rashmi Naidu</w:t>
    </w:r>
  </w:p>
  <w:p w14:paraId="2754E4D5" w14:textId="77777777" w:rsidR="002B721C" w:rsidRDefault="002B72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74A09"/>
    <w:multiLevelType w:val="hybridMultilevel"/>
    <w:tmpl w:val="687E052A"/>
    <w:lvl w:ilvl="0" w:tplc="7C1EEA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D32C9"/>
    <w:multiLevelType w:val="hybridMultilevel"/>
    <w:tmpl w:val="8B385C5C"/>
    <w:lvl w:ilvl="0" w:tplc="5712D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80E88"/>
    <w:multiLevelType w:val="hybridMultilevel"/>
    <w:tmpl w:val="9F002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62F07"/>
    <w:multiLevelType w:val="hybridMultilevel"/>
    <w:tmpl w:val="C63E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595148"/>
    <w:multiLevelType w:val="hybridMultilevel"/>
    <w:tmpl w:val="6A16379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9B5662B"/>
    <w:multiLevelType w:val="hybridMultilevel"/>
    <w:tmpl w:val="F232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DC1BAA"/>
    <w:multiLevelType w:val="hybridMultilevel"/>
    <w:tmpl w:val="44D64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3D2405"/>
    <w:multiLevelType w:val="hybridMultilevel"/>
    <w:tmpl w:val="C77E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66695"/>
    <w:multiLevelType w:val="hybridMultilevel"/>
    <w:tmpl w:val="1660A6BE"/>
    <w:lvl w:ilvl="0" w:tplc="C3A63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7"/>
  </w:num>
  <w:num w:numId="5">
    <w:abstractNumId w:val="6"/>
  </w:num>
  <w:num w:numId="6">
    <w:abstractNumId w:val="2"/>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71"/>
    <w:rsid w:val="000320C2"/>
    <w:rsid w:val="00050C9E"/>
    <w:rsid w:val="000775E4"/>
    <w:rsid w:val="000C5D9A"/>
    <w:rsid w:val="000F654D"/>
    <w:rsid w:val="001379BB"/>
    <w:rsid w:val="00221522"/>
    <w:rsid w:val="002B721C"/>
    <w:rsid w:val="002C17E6"/>
    <w:rsid w:val="003214C8"/>
    <w:rsid w:val="003231C0"/>
    <w:rsid w:val="00350BDE"/>
    <w:rsid w:val="00373EF3"/>
    <w:rsid w:val="003A7CAA"/>
    <w:rsid w:val="00431BB2"/>
    <w:rsid w:val="00440D75"/>
    <w:rsid w:val="004A36B3"/>
    <w:rsid w:val="004B1171"/>
    <w:rsid w:val="0052200D"/>
    <w:rsid w:val="0054638E"/>
    <w:rsid w:val="005D5EF6"/>
    <w:rsid w:val="00621654"/>
    <w:rsid w:val="006229BD"/>
    <w:rsid w:val="0063143E"/>
    <w:rsid w:val="00651C05"/>
    <w:rsid w:val="00681C58"/>
    <w:rsid w:val="0068580F"/>
    <w:rsid w:val="00770628"/>
    <w:rsid w:val="007751A9"/>
    <w:rsid w:val="007A641D"/>
    <w:rsid w:val="007D6AAF"/>
    <w:rsid w:val="007F277E"/>
    <w:rsid w:val="00815A57"/>
    <w:rsid w:val="00903973"/>
    <w:rsid w:val="00922A0C"/>
    <w:rsid w:val="009C44AB"/>
    <w:rsid w:val="009C70F3"/>
    <w:rsid w:val="00A80873"/>
    <w:rsid w:val="00B106CF"/>
    <w:rsid w:val="00B32625"/>
    <w:rsid w:val="00B328F7"/>
    <w:rsid w:val="00B66313"/>
    <w:rsid w:val="00BA5369"/>
    <w:rsid w:val="00BC2306"/>
    <w:rsid w:val="00C64366"/>
    <w:rsid w:val="00C711BB"/>
    <w:rsid w:val="00C75707"/>
    <w:rsid w:val="00D05F98"/>
    <w:rsid w:val="00D10FD6"/>
    <w:rsid w:val="00D3642A"/>
    <w:rsid w:val="00D63910"/>
    <w:rsid w:val="00D85F2F"/>
    <w:rsid w:val="00D948B5"/>
    <w:rsid w:val="00DC771F"/>
    <w:rsid w:val="00E91756"/>
    <w:rsid w:val="00EC7650"/>
    <w:rsid w:val="00F63A4A"/>
    <w:rsid w:val="00F7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D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1171"/>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B1171"/>
    <w:pPr>
      <w:ind w:left="720"/>
      <w:contextualSpacing/>
    </w:pPr>
  </w:style>
  <w:style w:type="character" w:styleId="Emphasis">
    <w:name w:val="Emphasis"/>
    <w:basedOn w:val="DefaultParagraphFont"/>
    <w:uiPriority w:val="20"/>
    <w:qFormat/>
    <w:rsid w:val="00C711BB"/>
    <w:rPr>
      <w:i/>
      <w:iCs/>
    </w:rPr>
  </w:style>
  <w:style w:type="character" w:styleId="Hyperlink">
    <w:name w:val="Hyperlink"/>
    <w:basedOn w:val="DefaultParagraphFont"/>
    <w:uiPriority w:val="99"/>
    <w:unhideWhenUsed/>
    <w:rsid w:val="00C64366"/>
    <w:rPr>
      <w:color w:val="0000FF"/>
      <w:u w:val="single"/>
    </w:rPr>
  </w:style>
  <w:style w:type="character" w:customStyle="1" w:styleId="ref-title">
    <w:name w:val="ref-title"/>
    <w:basedOn w:val="DefaultParagraphFont"/>
    <w:rsid w:val="00C64366"/>
  </w:style>
  <w:style w:type="character" w:customStyle="1" w:styleId="ref-journal">
    <w:name w:val="ref-journal"/>
    <w:basedOn w:val="DefaultParagraphFont"/>
    <w:rsid w:val="00C64366"/>
  </w:style>
  <w:style w:type="character" w:customStyle="1" w:styleId="ref-vol">
    <w:name w:val="ref-vol"/>
    <w:basedOn w:val="DefaultParagraphFont"/>
    <w:rsid w:val="00C64366"/>
  </w:style>
  <w:style w:type="character" w:styleId="FollowedHyperlink">
    <w:name w:val="FollowedHyperlink"/>
    <w:basedOn w:val="DefaultParagraphFont"/>
    <w:uiPriority w:val="99"/>
    <w:semiHidden/>
    <w:unhideWhenUsed/>
    <w:rsid w:val="00C64366"/>
    <w:rPr>
      <w:color w:val="954F72" w:themeColor="followedHyperlink"/>
      <w:u w:val="single"/>
    </w:rPr>
  </w:style>
  <w:style w:type="paragraph" w:styleId="Header">
    <w:name w:val="header"/>
    <w:basedOn w:val="Normal"/>
    <w:link w:val="HeaderChar"/>
    <w:uiPriority w:val="99"/>
    <w:unhideWhenUsed/>
    <w:rsid w:val="002B721C"/>
    <w:pPr>
      <w:tabs>
        <w:tab w:val="center" w:pos="4680"/>
        <w:tab w:val="right" w:pos="9360"/>
      </w:tabs>
    </w:pPr>
  </w:style>
  <w:style w:type="character" w:customStyle="1" w:styleId="HeaderChar">
    <w:name w:val="Header Char"/>
    <w:basedOn w:val="DefaultParagraphFont"/>
    <w:link w:val="Header"/>
    <w:uiPriority w:val="99"/>
    <w:rsid w:val="002B721C"/>
  </w:style>
  <w:style w:type="paragraph" w:styleId="Footer">
    <w:name w:val="footer"/>
    <w:basedOn w:val="Normal"/>
    <w:link w:val="FooterChar"/>
    <w:uiPriority w:val="99"/>
    <w:unhideWhenUsed/>
    <w:rsid w:val="002B721C"/>
    <w:pPr>
      <w:tabs>
        <w:tab w:val="center" w:pos="4680"/>
        <w:tab w:val="right" w:pos="9360"/>
      </w:tabs>
    </w:pPr>
  </w:style>
  <w:style w:type="character" w:customStyle="1" w:styleId="FooterChar">
    <w:name w:val="Footer Char"/>
    <w:basedOn w:val="DefaultParagraphFont"/>
    <w:link w:val="Footer"/>
    <w:uiPriority w:val="99"/>
    <w:rsid w:val="002B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87997">
      <w:bodyDiv w:val="1"/>
      <w:marLeft w:val="0"/>
      <w:marRight w:val="0"/>
      <w:marTop w:val="0"/>
      <w:marBottom w:val="0"/>
      <w:divBdr>
        <w:top w:val="none" w:sz="0" w:space="0" w:color="auto"/>
        <w:left w:val="none" w:sz="0" w:space="0" w:color="auto"/>
        <w:bottom w:val="none" w:sz="0" w:space="0" w:color="auto"/>
        <w:right w:val="none" w:sz="0" w:space="0" w:color="auto"/>
      </w:divBdr>
    </w:div>
    <w:div w:id="623118437">
      <w:bodyDiv w:val="1"/>
      <w:marLeft w:val="0"/>
      <w:marRight w:val="0"/>
      <w:marTop w:val="0"/>
      <w:marBottom w:val="0"/>
      <w:divBdr>
        <w:top w:val="none" w:sz="0" w:space="0" w:color="auto"/>
        <w:left w:val="none" w:sz="0" w:space="0" w:color="auto"/>
        <w:bottom w:val="none" w:sz="0" w:space="0" w:color="auto"/>
        <w:right w:val="none" w:sz="0" w:space="0" w:color="auto"/>
      </w:divBdr>
    </w:div>
    <w:div w:id="679427371">
      <w:bodyDiv w:val="1"/>
      <w:marLeft w:val="0"/>
      <w:marRight w:val="0"/>
      <w:marTop w:val="0"/>
      <w:marBottom w:val="0"/>
      <w:divBdr>
        <w:top w:val="none" w:sz="0" w:space="0" w:color="auto"/>
        <w:left w:val="none" w:sz="0" w:space="0" w:color="auto"/>
        <w:bottom w:val="none" w:sz="0" w:space="0" w:color="auto"/>
        <w:right w:val="none" w:sz="0" w:space="0" w:color="auto"/>
      </w:divBdr>
    </w:div>
    <w:div w:id="692730080">
      <w:bodyDiv w:val="1"/>
      <w:marLeft w:val="0"/>
      <w:marRight w:val="0"/>
      <w:marTop w:val="0"/>
      <w:marBottom w:val="0"/>
      <w:divBdr>
        <w:top w:val="none" w:sz="0" w:space="0" w:color="auto"/>
        <w:left w:val="none" w:sz="0" w:space="0" w:color="auto"/>
        <w:bottom w:val="none" w:sz="0" w:space="0" w:color="auto"/>
        <w:right w:val="none" w:sz="0" w:space="0" w:color="auto"/>
      </w:divBdr>
    </w:div>
    <w:div w:id="844248011">
      <w:bodyDiv w:val="1"/>
      <w:marLeft w:val="0"/>
      <w:marRight w:val="0"/>
      <w:marTop w:val="0"/>
      <w:marBottom w:val="0"/>
      <w:divBdr>
        <w:top w:val="none" w:sz="0" w:space="0" w:color="auto"/>
        <w:left w:val="none" w:sz="0" w:space="0" w:color="auto"/>
        <w:bottom w:val="none" w:sz="0" w:space="0" w:color="auto"/>
        <w:right w:val="none" w:sz="0" w:space="0" w:color="auto"/>
      </w:divBdr>
    </w:div>
    <w:div w:id="1011106794">
      <w:bodyDiv w:val="1"/>
      <w:marLeft w:val="0"/>
      <w:marRight w:val="0"/>
      <w:marTop w:val="0"/>
      <w:marBottom w:val="0"/>
      <w:divBdr>
        <w:top w:val="none" w:sz="0" w:space="0" w:color="auto"/>
        <w:left w:val="none" w:sz="0" w:space="0" w:color="auto"/>
        <w:bottom w:val="none" w:sz="0" w:space="0" w:color="auto"/>
        <w:right w:val="none" w:sz="0" w:space="0" w:color="auto"/>
      </w:divBdr>
    </w:div>
    <w:div w:id="1281690786">
      <w:bodyDiv w:val="1"/>
      <w:marLeft w:val="0"/>
      <w:marRight w:val="0"/>
      <w:marTop w:val="0"/>
      <w:marBottom w:val="0"/>
      <w:divBdr>
        <w:top w:val="none" w:sz="0" w:space="0" w:color="auto"/>
        <w:left w:val="none" w:sz="0" w:space="0" w:color="auto"/>
        <w:bottom w:val="none" w:sz="0" w:space="0" w:color="auto"/>
        <w:right w:val="none" w:sz="0" w:space="0" w:color="auto"/>
      </w:divBdr>
    </w:div>
    <w:div w:id="2128771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entrez/query.fcgi?cmd=Retrieve&amp;db=PubMed&amp;dopt=Abstract&amp;list_uids=25203083" TargetMode="External"/><Relationship Id="rId12" Type="http://schemas.openxmlformats.org/officeDocument/2006/relationships/hyperlink" Target="https://www.cdc.gov/ncbddd/sicklecell/treatments.html" TargetMode="External"/><Relationship Id="rId13" Type="http://schemas.openxmlformats.org/officeDocument/2006/relationships/hyperlink" Target="https://doi.org/10.1016/j.hemonc.2017.09.003" TargetMode="External"/><Relationship Id="rId14" Type="http://schemas.openxmlformats.org/officeDocument/2006/relationships/hyperlink" Target="https://doi.org/10.1146/annurev-med-041817-125507"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10</Pages>
  <Words>3009</Words>
  <Characters>17157</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Naidu</dc:creator>
  <cp:keywords/>
  <dc:description/>
  <cp:lastModifiedBy>Rashmi Naidu</cp:lastModifiedBy>
  <cp:revision>7</cp:revision>
  <cp:lastPrinted>2019-12-08T13:11:00Z</cp:lastPrinted>
  <dcterms:created xsi:type="dcterms:W3CDTF">2019-12-01T10:57:00Z</dcterms:created>
  <dcterms:modified xsi:type="dcterms:W3CDTF">2019-12-08T13:54:00Z</dcterms:modified>
</cp:coreProperties>
</file>