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4CB1" w:rsidRDefault="00705844">
      <w:pPr>
        <w:spacing w:before="240" w:after="2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Assessing the relative functions of two putative collagenase genes extracted from a </w:t>
      </w:r>
      <w:r w:rsidR="00DD6B94">
        <w:rPr>
          <w:rFonts w:ascii="Times New Roman" w:eastAsia="Times New Roman" w:hAnsi="Times New Roman" w:cs="Times New Roman"/>
          <w:b/>
          <w:sz w:val="28"/>
          <w:szCs w:val="28"/>
        </w:rPr>
        <w:t>clinically relevant</w:t>
      </w:r>
      <w:r>
        <w:rPr>
          <w:rFonts w:ascii="Times New Roman" w:eastAsia="Times New Roman" w:hAnsi="Times New Roman" w:cs="Times New Roman"/>
          <w:b/>
          <w:sz w:val="28"/>
          <w:szCs w:val="28"/>
        </w:rPr>
        <w:t xml:space="preserve"> vaginal microbe</w:t>
      </w:r>
    </w:p>
    <w:p w:rsidR="00804CB1" w:rsidRDefault="00705844">
      <w:pPr>
        <w:numPr>
          <w:ilvl w:val="0"/>
          <w:numId w:val="3"/>
        </w:num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Introduction</w:t>
      </w:r>
    </w:p>
    <w:p w:rsidR="00804CB1" w:rsidRDefault="0070584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The human body possesses a complex network of microorganisms which play vital roles in defining and managing health and immunity</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In 2008, the United States National Institutes of Health (NIH) established the Human Microbiome Project (HMP) to obta</w:t>
      </w:r>
      <w:r>
        <w:rPr>
          <w:rFonts w:ascii="Times New Roman" w:eastAsia="Times New Roman" w:hAnsi="Times New Roman" w:cs="Times New Roman"/>
          <w:sz w:val="24"/>
          <w:szCs w:val="24"/>
        </w:rPr>
        <w:t>in a deeper understanding of the genetic and functional characteristics of human-associated microbes</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The project evolved in 2014 to become the Integrative Human Microbiome Project (iHMP)</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Unlike phase one (HMP) which consisted of developing </w:t>
      </w:r>
      <w:r>
        <w:rPr>
          <w:rFonts w:ascii="Times New Roman" w:eastAsia="Times New Roman" w:hAnsi="Times New Roman" w:cs="Times New Roman"/>
          <w:sz w:val="24"/>
          <w:szCs w:val="24"/>
        </w:rPr>
        <w:t>DNA datasets for large-scale computational analyses, phase two (iHMP) focuses on understanding the link between the human microbiome and health. Lab affiliates of the Vaginal Microbiome Consortium (VMC) at Virginia Commonwealth University contribute to the</w:t>
      </w:r>
      <w:r>
        <w:rPr>
          <w:rFonts w:ascii="Times New Roman" w:eastAsia="Times New Roman" w:hAnsi="Times New Roman" w:cs="Times New Roman"/>
          <w:sz w:val="24"/>
          <w:szCs w:val="24"/>
        </w:rPr>
        <w:t>se efforts by designing studies that attempt to identify microbial profiles in the vagina associated with adverse gynecological conditions such as Bacterial vaginosis (BV) and preterm birth.</w:t>
      </w:r>
    </w:p>
    <w:p w:rsidR="00804CB1" w:rsidRDefault="0070584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In a recent study from the VMC, Fettweis et al (2014) characteriz</w:t>
      </w:r>
      <w:r>
        <w:rPr>
          <w:rFonts w:ascii="Times New Roman" w:eastAsia="Times New Roman" w:hAnsi="Times New Roman" w:cs="Times New Roman"/>
          <w:sz w:val="24"/>
          <w:szCs w:val="24"/>
        </w:rPr>
        <w:t xml:space="preserve">es </w:t>
      </w:r>
      <w:r>
        <w:rPr>
          <w:rFonts w:ascii="Times New Roman" w:eastAsia="Times New Roman" w:hAnsi="Times New Roman" w:cs="Times New Roman"/>
          <w:i/>
          <w:sz w:val="24"/>
          <w:szCs w:val="24"/>
        </w:rPr>
        <w:t>Candidatus</w:t>
      </w:r>
      <w:r>
        <w:rPr>
          <w:rFonts w:ascii="Times New Roman" w:eastAsia="Times New Roman" w:hAnsi="Times New Roman" w:cs="Times New Roman"/>
          <w:sz w:val="24"/>
          <w:szCs w:val="24"/>
        </w:rPr>
        <w:t xml:space="preserve"> Mycoplasma gerirdii as a </w:t>
      </w:r>
      <w:r w:rsidR="00DD6B94">
        <w:rPr>
          <w:rFonts w:ascii="Times New Roman" w:eastAsia="Times New Roman" w:hAnsi="Times New Roman" w:cs="Times New Roman"/>
          <w:sz w:val="24"/>
          <w:szCs w:val="24"/>
        </w:rPr>
        <w:t>clinically relevant</w:t>
      </w:r>
      <w:r>
        <w:rPr>
          <w:rFonts w:ascii="Times New Roman" w:eastAsia="Times New Roman" w:hAnsi="Times New Roman" w:cs="Times New Roman"/>
          <w:sz w:val="24"/>
          <w:szCs w:val="24"/>
        </w:rPr>
        <w:t xml:space="preserve"> vaginal microbe found almost exclusively in women infected with </w:t>
      </w:r>
      <w:r>
        <w:rPr>
          <w:rFonts w:ascii="Times New Roman" w:eastAsia="Times New Roman" w:hAnsi="Times New Roman" w:cs="Times New Roman"/>
          <w:i/>
          <w:sz w:val="24"/>
          <w:szCs w:val="24"/>
        </w:rPr>
        <w:t xml:space="preserve">Trichomonas vaginalis </w:t>
      </w:r>
      <w:r>
        <w:rPr>
          <w:rFonts w:ascii="Times New Roman" w:eastAsia="Times New Roman" w:hAnsi="Times New Roman" w:cs="Times New Roman"/>
          <w:sz w:val="24"/>
          <w:szCs w:val="24"/>
        </w:rPr>
        <w:t>(the causative agent of Trichomoniasis). Due in part to its novelty, attempts to cultivate the bacteria in cult</w:t>
      </w:r>
      <w:r>
        <w:rPr>
          <w:rFonts w:ascii="Times New Roman" w:eastAsia="Times New Roman" w:hAnsi="Times New Roman" w:cs="Times New Roman"/>
          <w:sz w:val="24"/>
          <w:szCs w:val="24"/>
        </w:rPr>
        <w:t>ure have proven unsuccessful. Thus far, computational analyses of Ca. Mycoplasma gerirdii’s genetic characteristics have been sufficient in providing vital information on the microbe’s metabolic strategies and environmental necessities</w:t>
      </w:r>
      <w:r>
        <w:rPr>
          <w:rFonts w:ascii="Times New Roman" w:eastAsia="Times New Roman" w:hAnsi="Times New Roman" w:cs="Times New Roman"/>
          <w:sz w:val="24"/>
          <w:szCs w:val="24"/>
          <w:vertAlign w:val="superscript"/>
        </w:rPr>
        <w:t>3</w:t>
      </w:r>
      <w:r>
        <w:rPr>
          <w:rFonts w:ascii="Times New Roman" w:eastAsia="Times New Roman" w:hAnsi="Times New Roman" w:cs="Times New Roman"/>
          <w:sz w:val="24"/>
          <w:szCs w:val="24"/>
        </w:rPr>
        <w:t xml:space="preserve">. </w:t>
      </w:r>
    </w:p>
    <w:p w:rsidR="00804CB1" w:rsidRDefault="00705844">
      <w:pPr>
        <w:spacing w:before="240" w:after="24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Genomic analyses of </w:t>
      </w:r>
      <w:r>
        <w:rPr>
          <w:rFonts w:ascii="Times New Roman" w:eastAsia="Times New Roman" w:hAnsi="Times New Roman" w:cs="Times New Roman"/>
          <w:i/>
          <w:sz w:val="24"/>
          <w:szCs w:val="24"/>
        </w:rPr>
        <w:t>Ca</w:t>
      </w:r>
      <w:r>
        <w:rPr>
          <w:rFonts w:ascii="Times New Roman" w:eastAsia="Times New Roman" w:hAnsi="Times New Roman" w:cs="Times New Roman"/>
          <w:sz w:val="24"/>
          <w:szCs w:val="24"/>
        </w:rPr>
        <w:t>. Mycoplasma gerirdii strain VCU-M1 indicate the presence of two putative collagenase genes belonging to the U32 peptidase family</w:t>
      </w:r>
      <w:r>
        <w:rPr>
          <w:rFonts w:ascii="Times New Roman" w:eastAsia="Times New Roman" w:hAnsi="Times New Roman" w:cs="Times New Roman"/>
          <w:sz w:val="24"/>
          <w:szCs w:val="24"/>
          <w:vertAlign w:val="superscript"/>
        </w:rPr>
        <w:t>3</w:t>
      </w:r>
      <w:r>
        <w:rPr>
          <w:rFonts w:ascii="Times New Roman" w:eastAsia="Times New Roman" w:hAnsi="Times New Roman" w:cs="Times New Roman"/>
          <w:sz w:val="24"/>
          <w:szCs w:val="24"/>
        </w:rPr>
        <w:t xml:space="preserve">. Sequence alignments to other U32 enzymes revealed low sequence homology (data not shown). Considering </w:t>
      </w:r>
      <w:r>
        <w:rPr>
          <w:rFonts w:ascii="Times New Roman" w:eastAsia="Times New Roman" w:hAnsi="Times New Roman" w:cs="Times New Roman"/>
          <w:sz w:val="24"/>
          <w:szCs w:val="24"/>
        </w:rPr>
        <w:t>the intrinsic role of collagenases and other metal metalloproteinases in facilitating the onset of child labor</w:t>
      </w:r>
      <w:r>
        <w:rPr>
          <w:rFonts w:ascii="Times New Roman" w:eastAsia="Times New Roman" w:hAnsi="Times New Roman" w:cs="Times New Roman"/>
          <w:sz w:val="24"/>
          <w:szCs w:val="24"/>
          <w:vertAlign w:val="superscript"/>
        </w:rPr>
        <w:t>4,</w:t>
      </w:r>
      <w:r>
        <w:rPr>
          <w:rFonts w:ascii="Times New Roman" w:eastAsia="Times New Roman" w:hAnsi="Times New Roman" w:cs="Times New Roman"/>
          <w:sz w:val="24"/>
          <w:szCs w:val="24"/>
          <w:vertAlign w:val="superscript"/>
        </w:rPr>
        <w:t>5</w:t>
      </w:r>
      <w:r>
        <w:rPr>
          <w:rFonts w:ascii="Times New Roman" w:eastAsia="Times New Roman" w:hAnsi="Times New Roman" w:cs="Times New Roman"/>
          <w:sz w:val="24"/>
          <w:szCs w:val="24"/>
        </w:rPr>
        <w:t xml:space="preserve">, this proposal seeks to determine the function of the proteins encoded by these genes. The execution of the following experiment may </w:t>
      </w:r>
      <w:r>
        <w:rPr>
          <w:rFonts w:ascii="Times New Roman" w:eastAsia="Times New Roman" w:hAnsi="Times New Roman" w:cs="Times New Roman"/>
          <w:sz w:val="24"/>
          <w:szCs w:val="24"/>
        </w:rPr>
        <w:t>permit a deeper understanding of the potential clinical risks associated with Ca. Mycoplasma gerirdii and other vaginal microbes which exhibit collagenase activity.</w:t>
      </w:r>
    </w:p>
    <w:p w:rsidR="00804CB1" w:rsidRDefault="00804CB1">
      <w:pPr>
        <w:rPr>
          <w:rFonts w:ascii="Times New Roman" w:eastAsia="Times New Roman" w:hAnsi="Times New Roman" w:cs="Times New Roman"/>
          <w:sz w:val="24"/>
          <w:szCs w:val="24"/>
        </w:rPr>
      </w:pPr>
    </w:p>
    <w:p w:rsidR="00804CB1" w:rsidRDefault="00705844">
      <w:pPr>
        <w:numPr>
          <w:ilvl w:val="0"/>
          <w:numId w:val="3"/>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Experiment</w:t>
      </w:r>
    </w:p>
    <w:p w:rsidR="00804CB1" w:rsidRDefault="00705844">
      <w:pPr>
        <w:rPr>
          <w:rFonts w:ascii="Times New Roman" w:eastAsia="Times New Roman" w:hAnsi="Times New Roman" w:cs="Times New Roman"/>
          <w:sz w:val="24"/>
          <w:szCs w:val="24"/>
        </w:rPr>
      </w:pPr>
      <w:r>
        <w:rPr>
          <w:rFonts w:ascii="Times New Roman" w:eastAsia="Times New Roman" w:hAnsi="Times New Roman" w:cs="Times New Roman"/>
          <w:sz w:val="24"/>
          <w:szCs w:val="24"/>
        </w:rPr>
        <w:t>This experiment aims to determine if the open reading frames (ORF) identified i</w:t>
      </w:r>
      <w:r>
        <w:rPr>
          <w:rFonts w:ascii="Times New Roman" w:eastAsia="Times New Roman" w:hAnsi="Times New Roman" w:cs="Times New Roman"/>
          <w:sz w:val="24"/>
          <w:szCs w:val="24"/>
        </w:rPr>
        <w:t>n the Ca. Mycoplasma girerdii strain VCU-M1 encode enzymes which actively catalyze the breakdown of collagen. Despite both ORFs (</w:t>
      </w:r>
      <w:r>
        <w:rPr>
          <w:rFonts w:ascii="Times New Roman" w:eastAsia="Times New Roman" w:hAnsi="Times New Roman" w:cs="Times New Roman"/>
          <w:i/>
          <w:sz w:val="24"/>
          <w:szCs w:val="24"/>
        </w:rPr>
        <w:t xml:space="preserve">Ca. </w:t>
      </w:r>
      <w:r>
        <w:rPr>
          <w:rFonts w:ascii="Times New Roman" w:eastAsia="Times New Roman" w:hAnsi="Times New Roman" w:cs="Times New Roman"/>
          <w:sz w:val="24"/>
          <w:szCs w:val="24"/>
        </w:rPr>
        <w:t>Mycoplasma gerirdii ORF55 and ORF56) mapping to the U32 peptidase family and originating from the same microbe, pairwise al</w:t>
      </w:r>
      <w:r>
        <w:rPr>
          <w:rFonts w:ascii="Times New Roman" w:eastAsia="Times New Roman" w:hAnsi="Times New Roman" w:cs="Times New Roman"/>
          <w:sz w:val="24"/>
          <w:szCs w:val="24"/>
        </w:rPr>
        <w:t>ignments of protein sequences reveal only 17.5%</w:t>
      </w:r>
      <w:r>
        <w:rPr>
          <w:rFonts w:ascii="Times New Roman" w:eastAsia="Times New Roman" w:hAnsi="Times New Roman" w:cs="Times New Roman"/>
          <w:sz w:val="20"/>
          <w:szCs w:val="20"/>
          <w:highlight w:val="white"/>
        </w:rPr>
        <w:t xml:space="preserve"> </w:t>
      </w:r>
      <w:r>
        <w:rPr>
          <w:rFonts w:ascii="Times New Roman" w:eastAsia="Times New Roman" w:hAnsi="Times New Roman" w:cs="Times New Roman"/>
          <w:sz w:val="24"/>
          <w:szCs w:val="24"/>
        </w:rPr>
        <w:t xml:space="preserve">percent homology. To determine the function and potential catalytic activity of both ORFs, each putative gene will be synthesized, cloned, and analyzed </w:t>
      </w:r>
      <w:r>
        <w:rPr>
          <w:rFonts w:ascii="Times New Roman" w:eastAsia="Times New Roman" w:hAnsi="Times New Roman" w:cs="Times New Roman"/>
          <w:sz w:val="24"/>
          <w:szCs w:val="24"/>
        </w:rPr>
        <w:lastRenderedPageBreak/>
        <w:t>separately. Functional comparisons will be made only aft</w:t>
      </w:r>
      <w:r>
        <w:rPr>
          <w:rFonts w:ascii="Times New Roman" w:eastAsia="Times New Roman" w:hAnsi="Times New Roman" w:cs="Times New Roman"/>
          <w:sz w:val="24"/>
          <w:szCs w:val="24"/>
        </w:rPr>
        <w:t>er results have been obtained for both genes.</w:t>
      </w:r>
    </w:p>
    <w:p w:rsidR="00804CB1" w:rsidRDefault="00804CB1">
      <w:pPr>
        <w:rPr>
          <w:rFonts w:ascii="Times New Roman" w:eastAsia="Times New Roman" w:hAnsi="Times New Roman" w:cs="Times New Roman"/>
          <w:sz w:val="24"/>
          <w:szCs w:val="24"/>
        </w:rPr>
      </w:pPr>
    </w:p>
    <w:p w:rsidR="00804CB1" w:rsidRDefault="00705844">
      <w:pPr>
        <w:numPr>
          <w:ilvl w:val="0"/>
          <w:numId w:val="5"/>
        </w:numPr>
        <w:rPr>
          <w:rFonts w:ascii="Times New Roman" w:eastAsia="Times New Roman" w:hAnsi="Times New Roman" w:cs="Times New Roman"/>
          <w:i/>
          <w:sz w:val="24"/>
          <w:szCs w:val="24"/>
        </w:rPr>
      </w:pPr>
      <w:r>
        <w:rPr>
          <w:rFonts w:ascii="Times New Roman" w:eastAsia="Times New Roman" w:hAnsi="Times New Roman" w:cs="Times New Roman"/>
          <w:i/>
          <w:sz w:val="24"/>
          <w:szCs w:val="24"/>
        </w:rPr>
        <w:t>Genetic Synthesis</w:t>
      </w:r>
    </w:p>
    <w:p w:rsidR="00804CB1" w:rsidRDefault="00705844">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Ca. </w:t>
      </w:r>
      <w:r>
        <w:rPr>
          <w:rFonts w:ascii="Times New Roman" w:eastAsia="Times New Roman" w:hAnsi="Times New Roman" w:cs="Times New Roman"/>
          <w:sz w:val="24"/>
          <w:szCs w:val="24"/>
        </w:rPr>
        <w:t>Mycoplasma gerirdii utilizes UGA as a codon for tryptophan</w:t>
      </w:r>
      <w:r>
        <w:rPr>
          <w:rFonts w:ascii="Times New Roman" w:eastAsia="Times New Roman" w:hAnsi="Times New Roman" w:cs="Times New Roman"/>
          <w:sz w:val="24"/>
          <w:szCs w:val="24"/>
          <w:vertAlign w:val="superscript"/>
        </w:rPr>
        <w:t>3</w:t>
      </w:r>
      <w:r>
        <w:rPr>
          <w:rFonts w:ascii="Times New Roman" w:eastAsia="Times New Roman" w:hAnsi="Times New Roman" w:cs="Times New Roman"/>
          <w:sz w:val="24"/>
          <w:szCs w:val="24"/>
        </w:rPr>
        <w:t>. This differs from other bacteria which commonly use UGA to signal stops in translation</w:t>
      </w:r>
      <w:r>
        <w:rPr>
          <w:rFonts w:ascii="Times New Roman" w:eastAsia="Times New Roman" w:hAnsi="Times New Roman" w:cs="Times New Roman"/>
          <w:sz w:val="24"/>
          <w:szCs w:val="24"/>
          <w:vertAlign w:val="superscript"/>
        </w:rPr>
        <w:t>6</w:t>
      </w:r>
      <w:r>
        <w:rPr>
          <w:rFonts w:ascii="Times New Roman" w:eastAsia="Times New Roman" w:hAnsi="Times New Roman" w:cs="Times New Roman"/>
          <w:sz w:val="24"/>
          <w:szCs w:val="24"/>
        </w:rPr>
        <w:t>. To minimize translational error</w:t>
      </w:r>
      <w:r>
        <w:rPr>
          <w:rFonts w:ascii="Times New Roman" w:eastAsia="Times New Roman" w:hAnsi="Times New Roman" w:cs="Times New Roman"/>
          <w:sz w:val="24"/>
          <w:szCs w:val="24"/>
        </w:rPr>
        <w:t xml:space="preserve">s incurred from these differences (i.e. early stops in sequence translation), genetic synthesis technology was employed. The GENEWIZ’s </w:t>
      </w:r>
      <w:hyperlink r:id="rId5">
        <w:r>
          <w:rPr>
            <w:rFonts w:ascii="Times New Roman" w:eastAsia="Times New Roman" w:hAnsi="Times New Roman" w:cs="Times New Roman"/>
            <w:sz w:val="24"/>
            <w:szCs w:val="24"/>
          </w:rPr>
          <w:t>PriorityGENE</w:t>
        </w:r>
      </w:hyperlink>
      <w:r>
        <w:rPr>
          <w:rFonts w:ascii="Times New Roman" w:eastAsia="Times New Roman" w:hAnsi="Times New Roman" w:cs="Times New Roman"/>
          <w:sz w:val="24"/>
          <w:szCs w:val="24"/>
        </w:rPr>
        <w:t xml:space="preserve"> synthesis service allows for the creation of codon optimized sequences. In a 2016 article by Zhou et al, researchers found that codon usage or codon bias impacts protein expression significantly</w:t>
      </w:r>
      <w:r>
        <w:rPr>
          <w:rFonts w:ascii="Times New Roman" w:eastAsia="Times New Roman" w:hAnsi="Times New Roman" w:cs="Times New Roman"/>
          <w:sz w:val="24"/>
          <w:szCs w:val="24"/>
          <w:vertAlign w:val="superscript"/>
        </w:rPr>
        <w:t>7</w:t>
      </w:r>
      <w:r>
        <w:rPr>
          <w:rFonts w:ascii="Times New Roman" w:eastAsia="Times New Roman" w:hAnsi="Times New Roman" w:cs="Times New Roman"/>
          <w:sz w:val="24"/>
          <w:szCs w:val="24"/>
        </w:rPr>
        <w:t xml:space="preserve">. Due to the degeneracy of the genetic code, a single amino acid can be encoded using multiple codons. Codon usage refers to the pattern and frequency in which organisms select different codons for use when synthesizing amino acids.  The Zhou et al (2016) </w:t>
      </w:r>
      <w:r>
        <w:rPr>
          <w:rFonts w:ascii="Times New Roman" w:eastAsia="Times New Roman" w:hAnsi="Times New Roman" w:cs="Times New Roman"/>
          <w:sz w:val="24"/>
          <w:szCs w:val="24"/>
        </w:rPr>
        <w:t xml:space="preserve">study found that genes containing </w:t>
      </w:r>
      <w:r w:rsidR="00DD6B94">
        <w:rPr>
          <w:rFonts w:ascii="Times New Roman" w:eastAsia="Times New Roman" w:hAnsi="Times New Roman" w:cs="Times New Roman"/>
          <w:sz w:val="24"/>
          <w:szCs w:val="24"/>
        </w:rPr>
        <w:t>frequently used</w:t>
      </w:r>
      <w:r>
        <w:rPr>
          <w:rFonts w:ascii="Times New Roman" w:eastAsia="Times New Roman" w:hAnsi="Times New Roman" w:cs="Times New Roman"/>
          <w:sz w:val="24"/>
          <w:szCs w:val="24"/>
        </w:rPr>
        <w:t xml:space="preserve"> codons showed higher levels of expression</w:t>
      </w:r>
      <w:r>
        <w:rPr>
          <w:rFonts w:ascii="Times New Roman" w:eastAsia="Times New Roman" w:hAnsi="Times New Roman" w:cs="Times New Roman"/>
          <w:sz w:val="24"/>
          <w:szCs w:val="24"/>
          <w:vertAlign w:val="superscript"/>
        </w:rPr>
        <w:t>7</w:t>
      </w:r>
      <w:r>
        <w:rPr>
          <w:rFonts w:ascii="Times New Roman" w:eastAsia="Times New Roman" w:hAnsi="Times New Roman" w:cs="Times New Roman"/>
          <w:sz w:val="24"/>
          <w:szCs w:val="24"/>
        </w:rPr>
        <w:t xml:space="preserve">. To maximize gene synthesis during cloning, GENEWIZ replaces codons present in the original sequences with those commonly used by </w:t>
      </w:r>
      <w:r>
        <w:rPr>
          <w:rFonts w:ascii="Times New Roman" w:eastAsia="Times New Roman" w:hAnsi="Times New Roman" w:cs="Times New Roman"/>
          <w:i/>
          <w:sz w:val="24"/>
          <w:szCs w:val="24"/>
        </w:rPr>
        <w:t>E. coli</w:t>
      </w:r>
      <w:r>
        <w:rPr>
          <w:rFonts w:ascii="Times New Roman" w:eastAsia="Times New Roman" w:hAnsi="Times New Roman" w:cs="Times New Roman"/>
          <w:sz w:val="24"/>
          <w:szCs w:val="24"/>
        </w:rPr>
        <w:t xml:space="preserve"> and other major host orga</w:t>
      </w:r>
      <w:r>
        <w:rPr>
          <w:rFonts w:ascii="Times New Roman" w:eastAsia="Times New Roman" w:hAnsi="Times New Roman" w:cs="Times New Roman"/>
          <w:sz w:val="24"/>
          <w:szCs w:val="24"/>
        </w:rPr>
        <w:t>nisms.</w:t>
      </w:r>
    </w:p>
    <w:p w:rsidR="00804CB1" w:rsidRDefault="00804CB1">
      <w:pPr>
        <w:rPr>
          <w:rFonts w:ascii="Times New Roman" w:eastAsia="Times New Roman" w:hAnsi="Times New Roman" w:cs="Times New Roman"/>
          <w:sz w:val="24"/>
          <w:szCs w:val="24"/>
        </w:rPr>
      </w:pPr>
    </w:p>
    <w:p w:rsidR="00804CB1" w:rsidRDefault="00705844">
      <w:pPr>
        <w:rPr>
          <w:rFonts w:ascii="Times New Roman" w:eastAsia="Times New Roman" w:hAnsi="Times New Roman" w:cs="Times New Roman"/>
          <w:sz w:val="24"/>
          <w:szCs w:val="24"/>
        </w:rPr>
      </w:pPr>
      <w:r>
        <w:rPr>
          <w:rFonts w:ascii="Times New Roman" w:eastAsia="Times New Roman" w:hAnsi="Times New Roman" w:cs="Times New Roman"/>
          <w:sz w:val="24"/>
          <w:szCs w:val="24"/>
        </w:rPr>
        <w:t>Once the genes are optimized and an order has been placed, GENEWIZ begins synthesizing the target genes by first designing single-stranded oligonucleotides which correspond to different regions of a full gene. These oligonucleotides function as bui</w:t>
      </w:r>
      <w:r>
        <w:rPr>
          <w:rFonts w:ascii="Times New Roman" w:eastAsia="Times New Roman" w:hAnsi="Times New Roman" w:cs="Times New Roman"/>
          <w:sz w:val="24"/>
          <w:szCs w:val="24"/>
        </w:rPr>
        <w:t xml:space="preserve">lding-blocks which, when assembled, create one continuous gene. Once the gene is created, it is inserted into the pUC57 plasmid vector and cloned within a host organism to produce up to 5 </w:t>
      </w:r>
      <w:proofErr w:type="spellStart"/>
      <w:r>
        <w:rPr>
          <w:rFonts w:ascii="Times New Roman" w:eastAsia="Times New Roman" w:hAnsi="Times New Roman" w:cs="Times New Roman"/>
          <w:sz w:val="24"/>
          <w:szCs w:val="24"/>
          <w:highlight w:val="white"/>
        </w:rPr>
        <w:t>μL</w:t>
      </w:r>
      <w:proofErr w:type="spellEnd"/>
      <w:r>
        <w:rPr>
          <w:rFonts w:ascii="Times New Roman" w:eastAsia="Times New Roman" w:hAnsi="Times New Roman" w:cs="Times New Roman"/>
          <w:sz w:val="24"/>
          <w:szCs w:val="24"/>
          <w:highlight w:val="white"/>
        </w:rPr>
        <w:t xml:space="preserve"> of the synthesized gene. Following this process, the gene inserts</w:t>
      </w:r>
      <w:r>
        <w:rPr>
          <w:rFonts w:ascii="Times New Roman" w:eastAsia="Times New Roman" w:hAnsi="Times New Roman" w:cs="Times New Roman"/>
          <w:sz w:val="24"/>
          <w:szCs w:val="24"/>
          <w:highlight w:val="white"/>
        </w:rPr>
        <w:t xml:space="preserve"> are checked for accuracy and quality using Sanger Sequencing. Once quality control protocols are completed, the synthesized genes are prepared for shipment. Included in the delivered package are the synthesized genes incorporated into pUC57 plasmids, a Ce</w:t>
      </w:r>
      <w:r>
        <w:rPr>
          <w:rFonts w:ascii="Times New Roman" w:eastAsia="Times New Roman" w:hAnsi="Times New Roman" w:cs="Times New Roman"/>
          <w:sz w:val="24"/>
          <w:szCs w:val="24"/>
          <w:highlight w:val="white"/>
        </w:rPr>
        <w:t xml:space="preserve">rtificate of Analysis (COA) which provides information about the plasmids and restriction digests. </w:t>
      </w:r>
    </w:p>
    <w:p w:rsidR="00804CB1" w:rsidRDefault="00804CB1">
      <w:pPr>
        <w:rPr>
          <w:rFonts w:ascii="Times New Roman" w:eastAsia="Times New Roman" w:hAnsi="Times New Roman" w:cs="Times New Roman"/>
          <w:sz w:val="24"/>
          <w:szCs w:val="24"/>
        </w:rPr>
      </w:pPr>
    </w:p>
    <w:p w:rsidR="00804CB1" w:rsidRDefault="00705844">
      <w:pPr>
        <w:numPr>
          <w:ilvl w:val="0"/>
          <w:numId w:val="5"/>
        </w:numP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Cloning</w:t>
      </w:r>
    </w:p>
    <w:p w:rsidR="00804CB1" w:rsidRDefault="00705844">
      <w:pPr>
        <w:rPr>
          <w:rFonts w:ascii="Times New Roman" w:eastAsia="Times New Roman" w:hAnsi="Times New Roman" w:cs="Times New Roman"/>
          <w:sz w:val="24"/>
          <w:szCs w:val="24"/>
          <w:highlight w:val="white"/>
        </w:rPr>
      </w:pPr>
      <w:r>
        <w:rPr>
          <w:noProof/>
        </w:rPr>
        <w:lastRenderedPageBreak/>
        <w:drawing>
          <wp:anchor distT="114300" distB="114300" distL="114300" distR="114300" simplePos="0" relativeHeight="251658240" behindDoc="0" locked="0" layoutInCell="1" hidden="0" allowOverlap="1">
            <wp:simplePos x="0" y="0"/>
            <wp:positionH relativeFrom="column">
              <wp:posOffset>19051</wp:posOffset>
            </wp:positionH>
            <wp:positionV relativeFrom="paragraph">
              <wp:posOffset>114300</wp:posOffset>
            </wp:positionV>
            <wp:extent cx="2547938" cy="2328974"/>
            <wp:effectExtent l="0" t="0" r="0" b="0"/>
            <wp:wrapSquare wrapText="bothSides" distT="114300" distB="11430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l="7638" r="3472" b="3305"/>
                    <a:stretch>
                      <a:fillRect/>
                    </a:stretch>
                  </pic:blipFill>
                  <pic:spPr>
                    <a:xfrm>
                      <a:off x="0" y="0"/>
                      <a:ext cx="2547938" cy="2328974"/>
                    </a:xfrm>
                    <a:prstGeom prst="rect">
                      <a:avLst/>
                    </a:prstGeom>
                    <a:ln/>
                  </pic:spPr>
                </pic:pic>
              </a:graphicData>
            </a:graphic>
          </wp:anchor>
        </w:drawing>
      </w:r>
    </w:p>
    <w:p w:rsidR="00705844" w:rsidRDefault="00705844">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As its name suggests, the pFN29A His</w:t>
      </w:r>
      <w:r>
        <w:rPr>
          <w:rFonts w:ascii="Times New Roman" w:eastAsia="Times New Roman" w:hAnsi="Times New Roman" w:cs="Times New Roman"/>
          <w:sz w:val="24"/>
          <w:szCs w:val="24"/>
          <w:highlight w:val="white"/>
          <w:vertAlign w:val="subscript"/>
        </w:rPr>
        <w:t>6</w:t>
      </w:r>
      <w:r>
        <w:rPr>
          <w:rFonts w:ascii="Times New Roman" w:eastAsia="Times New Roman" w:hAnsi="Times New Roman" w:cs="Times New Roman"/>
          <w:sz w:val="24"/>
          <w:szCs w:val="24"/>
          <w:highlight w:val="white"/>
        </w:rPr>
        <w:t>HaloTag</w:t>
      </w:r>
      <w:r>
        <w:rPr>
          <w:rFonts w:ascii="Times New Roman" w:eastAsia="Times New Roman" w:hAnsi="Times New Roman" w:cs="Times New Roman"/>
          <w:sz w:val="24"/>
          <w:szCs w:val="24"/>
          <w:highlight w:val="white"/>
          <w:vertAlign w:val="superscript"/>
        </w:rPr>
        <w:t>®</w:t>
      </w:r>
      <w:r>
        <w:rPr>
          <w:rFonts w:ascii="Times New Roman" w:eastAsia="Times New Roman" w:hAnsi="Times New Roman" w:cs="Times New Roman"/>
          <w:sz w:val="24"/>
          <w:szCs w:val="24"/>
          <w:highlight w:val="white"/>
        </w:rPr>
        <w:t xml:space="preserve"> T7 Flexi</w:t>
      </w:r>
      <w:r>
        <w:rPr>
          <w:rFonts w:ascii="Times New Roman" w:eastAsia="Times New Roman" w:hAnsi="Times New Roman" w:cs="Times New Roman"/>
          <w:sz w:val="24"/>
          <w:szCs w:val="24"/>
          <w:highlight w:val="white"/>
          <w:vertAlign w:val="superscript"/>
        </w:rPr>
        <w:t>®</w:t>
      </w:r>
      <w:r>
        <w:rPr>
          <w:rFonts w:ascii="Times New Roman" w:eastAsia="Times New Roman" w:hAnsi="Times New Roman" w:cs="Times New Roman"/>
          <w:sz w:val="24"/>
          <w:szCs w:val="24"/>
          <w:highlight w:val="white"/>
        </w:rPr>
        <w:t xml:space="preserve"> plasmid consists of a T7 promoter which enables high gene expression and product, a N-terminal His</w:t>
      </w:r>
      <w:r>
        <w:rPr>
          <w:rFonts w:ascii="Times New Roman" w:eastAsia="Times New Roman" w:hAnsi="Times New Roman" w:cs="Times New Roman"/>
          <w:sz w:val="24"/>
          <w:szCs w:val="24"/>
          <w:highlight w:val="white"/>
          <w:vertAlign w:val="subscript"/>
        </w:rPr>
        <w:t>6</w:t>
      </w:r>
      <w:r>
        <w:rPr>
          <w:rFonts w:ascii="Times New Roman" w:eastAsia="Times New Roman" w:hAnsi="Times New Roman" w:cs="Times New Roman"/>
          <w:sz w:val="24"/>
          <w:szCs w:val="24"/>
          <w:highlight w:val="white"/>
        </w:rPr>
        <w:t>HaloTag</w:t>
      </w:r>
      <w:r>
        <w:rPr>
          <w:rFonts w:ascii="Times New Roman" w:eastAsia="Times New Roman" w:hAnsi="Times New Roman" w:cs="Times New Roman"/>
          <w:sz w:val="24"/>
          <w:szCs w:val="24"/>
          <w:highlight w:val="white"/>
          <w:vertAlign w:val="superscript"/>
        </w:rPr>
        <w:t>®</w:t>
      </w:r>
      <w:r>
        <w:rPr>
          <w:rFonts w:ascii="Times New Roman" w:eastAsia="Times New Roman" w:hAnsi="Times New Roman" w:cs="Times New Roman"/>
          <w:sz w:val="24"/>
          <w:szCs w:val="24"/>
          <w:highlight w:val="white"/>
        </w:rPr>
        <w:t xml:space="preserve"> region which allows target protein purification, a TEV protease site for cleavage of the expressed protein from poly-His tag using a </w:t>
      </w:r>
      <w:proofErr w:type="spellStart"/>
      <w:r>
        <w:rPr>
          <w:rFonts w:ascii="Times New Roman" w:eastAsia="Times New Roman" w:hAnsi="Times New Roman" w:cs="Times New Roman"/>
          <w:sz w:val="24"/>
          <w:szCs w:val="24"/>
          <w:highlight w:val="white"/>
        </w:rPr>
        <w:t>HaloTEV</w:t>
      </w:r>
      <w:proofErr w:type="spellEnd"/>
      <w:r>
        <w:rPr>
          <w:rFonts w:ascii="Times New Roman" w:eastAsia="Times New Roman" w:hAnsi="Times New Roman" w:cs="Times New Roman"/>
          <w:sz w:val="24"/>
          <w:szCs w:val="24"/>
          <w:highlight w:val="white"/>
        </w:rPr>
        <w:t xml:space="preserve"> Protea</w:t>
      </w:r>
      <w:r>
        <w:rPr>
          <w:rFonts w:ascii="Times New Roman" w:eastAsia="Times New Roman" w:hAnsi="Times New Roman" w:cs="Times New Roman"/>
          <w:sz w:val="24"/>
          <w:szCs w:val="24"/>
          <w:highlight w:val="white"/>
        </w:rPr>
        <w:t xml:space="preserve">se, a </w:t>
      </w:r>
      <w:proofErr w:type="spellStart"/>
      <w:r>
        <w:rPr>
          <w:rFonts w:ascii="Times New Roman" w:eastAsia="Times New Roman" w:hAnsi="Times New Roman" w:cs="Times New Roman"/>
          <w:sz w:val="24"/>
          <w:szCs w:val="24"/>
          <w:highlight w:val="white"/>
        </w:rPr>
        <w:t>barnase</w:t>
      </w:r>
      <w:proofErr w:type="spellEnd"/>
      <w:r>
        <w:rPr>
          <w:rFonts w:ascii="Times New Roman" w:eastAsia="Times New Roman" w:hAnsi="Times New Roman" w:cs="Times New Roman"/>
          <w:sz w:val="24"/>
          <w:szCs w:val="24"/>
          <w:highlight w:val="white"/>
        </w:rPr>
        <w:t xml:space="preserve"> gene (replaced with gene insert), an ampicillin-resistance gene for selection of the plasmid, and a </w:t>
      </w:r>
      <w:proofErr w:type="spellStart"/>
      <w:r>
        <w:rPr>
          <w:rFonts w:ascii="Times New Roman" w:eastAsia="Times New Roman" w:hAnsi="Times New Roman" w:cs="Times New Roman"/>
          <w:sz w:val="24"/>
          <w:szCs w:val="24"/>
          <w:highlight w:val="white"/>
        </w:rPr>
        <w:t>rrnB</w:t>
      </w:r>
      <w:proofErr w:type="spellEnd"/>
      <w:r>
        <w:rPr>
          <w:rFonts w:ascii="Times New Roman" w:eastAsia="Times New Roman" w:hAnsi="Times New Roman" w:cs="Times New Roman"/>
          <w:sz w:val="24"/>
          <w:szCs w:val="24"/>
          <w:highlight w:val="white"/>
        </w:rPr>
        <w:t xml:space="preserve"> transcription terminator (see Figure 1). </w:t>
      </w:r>
    </w:p>
    <w:p w:rsidR="00804CB1" w:rsidRDefault="00804CB1">
      <w:pPr>
        <w:rPr>
          <w:rFonts w:ascii="Times New Roman" w:eastAsia="Times New Roman" w:hAnsi="Times New Roman" w:cs="Times New Roman"/>
          <w:sz w:val="24"/>
          <w:szCs w:val="24"/>
          <w:highlight w:val="white"/>
        </w:rPr>
      </w:pPr>
    </w:p>
    <w:p w:rsidR="00804CB1" w:rsidRDefault="00705844">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To prepare the genes for insertion into the pFN29A His</w:t>
      </w:r>
      <w:r>
        <w:rPr>
          <w:rFonts w:ascii="Times New Roman" w:eastAsia="Times New Roman" w:hAnsi="Times New Roman" w:cs="Times New Roman"/>
          <w:sz w:val="24"/>
          <w:szCs w:val="24"/>
          <w:highlight w:val="white"/>
          <w:vertAlign w:val="subscript"/>
        </w:rPr>
        <w:t>6</w:t>
      </w:r>
      <w:r>
        <w:rPr>
          <w:rFonts w:ascii="Times New Roman" w:eastAsia="Times New Roman" w:hAnsi="Times New Roman" w:cs="Times New Roman"/>
          <w:sz w:val="24"/>
          <w:szCs w:val="24"/>
          <w:highlight w:val="white"/>
        </w:rPr>
        <w:t>HaloTag</w:t>
      </w:r>
      <w:r>
        <w:rPr>
          <w:rFonts w:ascii="Times New Roman" w:eastAsia="Times New Roman" w:hAnsi="Times New Roman" w:cs="Times New Roman"/>
          <w:sz w:val="24"/>
          <w:szCs w:val="24"/>
          <w:highlight w:val="white"/>
          <w:vertAlign w:val="superscript"/>
        </w:rPr>
        <w:t>®</w:t>
      </w:r>
      <w:r>
        <w:rPr>
          <w:rFonts w:ascii="Times New Roman" w:eastAsia="Times New Roman" w:hAnsi="Times New Roman" w:cs="Times New Roman"/>
          <w:sz w:val="24"/>
          <w:szCs w:val="24"/>
          <w:highlight w:val="white"/>
        </w:rPr>
        <w:t xml:space="preserve"> T7 Flexi</w:t>
      </w:r>
      <w:r>
        <w:rPr>
          <w:rFonts w:ascii="Times New Roman" w:eastAsia="Times New Roman" w:hAnsi="Times New Roman" w:cs="Times New Roman"/>
          <w:sz w:val="24"/>
          <w:szCs w:val="24"/>
          <w:highlight w:val="white"/>
          <w:vertAlign w:val="superscript"/>
        </w:rPr>
        <w:t>®</w:t>
      </w:r>
      <w:r>
        <w:rPr>
          <w:rFonts w:ascii="Times New Roman" w:eastAsia="Times New Roman" w:hAnsi="Times New Roman" w:cs="Times New Roman"/>
          <w:sz w:val="24"/>
          <w:szCs w:val="24"/>
          <w:highlight w:val="white"/>
        </w:rPr>
        <w:t xml:space="preserve"> plasmid vector, forw</w:t>
      </w:r>
      <w:r>
        <w:rPr>
          <w:rFonts w:ascii="Times New Roman" w:eastAsia="Times New Roman" w:hAnsi="Times New Roman" w:cs="Times New Roman"/>
          <w:sz w:val="24"/>
          <w:szCs w:val="24"/>
          <w:highlight w:val="white"/>
        </w:rPr>
        <w:t>ard and reverse PCR primers were designed to append the SgfI</w:t>
      </w:r>
      <w:r>
        <w:rPr>
          <w:rFonts w:ascii="Times New Roman" w:eastAsia="Times New Roman" w:hAnsi="Times New Roman" w:cs="Times New Roman"/>
          <w:sz w:val="24"/>
          <w:szCs w:val="24"/>
          <w:highlight w:val="white"/>
        </w:rPr>
        <w:t xml:space="preserve"> and PmeI restriction sites (underlined in table) to the amplified PCR product (refer to Figure 2). Table 1 below provides all the primer sequences for both genes with restriction sites underli</w:t>
      </w:r>
      <w:r>
        <w:rPr>
          <w:rFonts w:ascii="Times New Roman" w:eastAsia="Times New Roman" w:hAnsi="Times New Roman" w:cs="Times New Roman"/>
          <w:sz w:val="24"/>
          <w:szCs w:val="24"/>
          <w:highlight w:val="white"/>
        </w:rPr>
        <w:t xml:space="preserve">ned. </w:t>
      </w:r>
      <w:r w:rsidR="00D43932">
        <w:rPr>
          <w:rFonts w:ascii="Times New Roman" w:eastAsia="Times New Roman" w:hAnsi="Times New Roman" w:cs="Times New Roman"/>
          <w:sz w:val="24"/>
          <w:szCs w:val="24"/>
          <w:highlight w:val="white"/>
        </w:rPr>
        <w:t xml:space="preserve">Following amplification of the target genes, PCR products were purified in 2 stages. The first stage purified all genetic material present in the PCR reaction, this process was achieved using spin column, several wash cycles and DNA elution buffer. The second stage separated plasmids from amplified genes by running the purified DNA from stage one on 0.8% agarose and using a scalpel to excise the band corresponding to the target gene directly from the gel. </w:t>
      </w:r>
      <w:r w:rsidR="00D43932">
        <w:rPr>
          <w:rFonts w:ascii="Times New Roman" w:eastAsia="Times New Roman" w:hAnsi="Times New Roman" w:cs="Times New Roman"/>
          <w:sz w:val="24"/>
          <w:szCs w:val="24"/>
          <w:highlight w:val="white"/>
        </w:rPr>
        <w:t xml:space="preserve">Once removed, the gel was </w:t>
      </w:r>
      <w:r w:rsidR="002D78ED">
        <w:rPr>
          <w:rFonts w:ascii="Times New Roman" w:eastAsia="Times New Roman" w:hAnsi="Times New Roman" w:cs="Times New Roman"/>
          <w:sz w:val="24"/>
          <w:szCs w:val="24"/>
          <w:highlight w:val="white"/>
        </w:rPr>
        <w:t>dissolved,</w:t>
      </w:r>
      <w:r w:rsidR="00D43932">
        <w:rPr>
          <w:rFonts w:ascii="Times New Roman" w:eastAsia="Times New Roman" w:hAnsi="Times New Roman" w:cs="Times New Roman"/>
          <w:sz w:val="24"/>
          <w:szCs w:val="24"/>
          <w:highlight w:val="white"/>
        </w:rPr>
        <w:t xml:space="preserve"> and the target gene</w:t>
      </w:r>
      <w:r w:rsidR="002D78ED">
        <w:rPr>
          <w:rFonts w:ascii="Times New Roman" w:eastAsia="Times New Roman" w:hAnsi="Times New Roman" w:cs="Times New Roman"/>
          <w:sz w:val="24"/>
          <w:szCs w:val="24"/>
          <w:highlight w:val="white"/>
        </w:rPr>
        <w:t>s</w:t>
      </w:r>
      <w:r w:rsidR="00D43932">
        <w:rPr>
          <w:rFonts w:ascii="Times New Roman" w:eastAsia="Times New Roman" w:hAnsi="Times New Roman" w:cs="Times New Roman"/>
          <w:sz w:val="24"/>
          <w:szCs w:val="24"/>
          <w:highlight w:val="white"/>
        </w:rPr>
        <w:t xml:space="preserve"> w</w:t>
      </w:r>
      <w:r w:rsidR="002D78ED">
        <w:rPr>
          <w:rFonts w:ascii="Times New Roman" w:eastAsia="Times New Roman" w:hAnsi="Times New Roman" w:cs="Times New Roman"/>
          <w:sz w:val="24"/>
          <w:szCs w:val="24"/>
          <w:highlight w:val="white"/>
        </w:rPr>
        <w:t>ere</w:t>
      </w:r>
      <w:r w:rsidR="00D43932">
        <w:rPr>
          <w:rFonts w:ascii="Times New Roman" w:eastAsia="Times New Roman" w:hAnsi="Times New Roman" w:cs="Times New Roman"/>
          <w:sz w:val="24"/>
          <w:szCs w:val="24"/>
          <w:highlight w:val="white"/>
        </w:rPr>
        <w:t xml:space="preserve"> eluted using a method </w:t>
      </w:r>
      <w:r w:rsidR="002D78ED">
        <w:rPr>
          <w:rFonts w:ascii="Times New Roman" w:eastAsia="Times New Roman" w:hAnsi="Times New Roman" w:cs="Times New Roman"/>
          <w:sz w:val="24"/>
          <w:szCs w:val="24"/>
          <w:highlight w:val="white"/>
        </w:rPr>
        <w:t>like</w:t>
      </w:r>
      <w:r w:rsidR="00D43932">
        <w:rPr>
          <w:rFonts w:ascii="Times New Roman" w:eastAsia="Times New Roman" w:hAnsi="Times New Roman" w:cs="Times New Roman"/>
          <w:sz w:val="24"/>
          <w:szCs w:val="24"/>
          <w:highlight w:val="white"/>
        </w:rPr>
        <w:t xml:space="preserve"> the one used in stage one.</w:t>
      </w:r>
    </w:p>
    <w:p w:rsidR="00804CB1" w:rsidRDefault="00705844">
      <w:pPr>
        <w:jc w:val="center"/>
        <w:rPr>
          <w:rFonts w:ascii="Times New Roman" w:eastAsia="Times New Roman" w:hAnsi="Times New Roman" w:cs="Times New Roman"/>
          <w:sz w:val="20"/>
          <w:szCs w:val="20"/>
          <w:highlight w:val="white"/>
        </w:rPr>
      </w:pPr>
      <w:r>
        <w:rPr>
          <w:rFonts w:ascii="Times New Roman" w:eastAsia="Times New Roman" w:hAnsi="Times New Roman" w:cs="Times New Roman"/>
          <w:noProof/>
          <w:sz w:val="24"/>
          <w:szCs w:val="24"/>
          <w:highlight w:val="white"/>
        </w:rPr>
        <w:drawing>
          <wp:inline distT="114300" distB="114300" distL="114300" distR="114300">
            <wp:extent cx="3769964" cy="2605088"/>
            <wp:effectExtent l="0" t="0" r="0" 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l="1676" t="3247" r="13066" b="8000"/>
                    <a:stretch>
                      <a:fillRect/>
                    </a:stretch>
                  </pic:blipFill>
                  <pic:spPr>
                    <a:xfrm>
                      <a:off x="0" y="0"/>
                      <a:ext cx="3769964" cy="2605088"/>
                    </a:xfrm>
                    <a:prstGeom prst="rect">
                      <a:avLst/>
                    </a:prstGeom>
                    <a:ln/>
                  </pic:spPr>
                </pic:pic>
              </a:graphicData>
            </a:graphic>
          </wp:inline>
        </w:drawing>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60"/>
        <w:gridCol w:w="1980"/>
        <w:gridCol w:w="5820"/>
      </w:tblGrid>
      <w:tr w:rsidR="00804CB1">
        <w:tc>
          <w:tcPr>
            <w:tcW w:w="1560" w:type="dxa"/>
            <w:shd w:val="clear" w:color="auto" w:fill="auto"/>
            <w:tcMar>
              <w:top w:w="100" w:type="dxa"/>
              <w:left w:w="100" w:type="dxa"/>
              <w:bottom w:w="100" w:type="dxa"/>
              <w:right w:w="100" w:type="dxa"/>
            </w:tcMar>
          </w:tcPr>
          <w:p w:rsidR="00804CB1" w:rsidRDefault="00705844">
            <w:pPr>
              <w:widowControl w:val="0"/>
              <w:pBdr>
                <w:top w:val="nil"/>
                <w:left w:val="nil"/>
                <w:bottom w:val="nil"/>
                <w:right w:val="nil"/>
                <w:between w:val="nil"/>
              </w:pBdr>
              <w:spacing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Type</w:t>
            </w:r>
          </w:p>
        </w:tc>
        <w:tc>
          <w:tcPr>
            <w:tcW w:w="1980" w:type="dxa"/>
            <w:shd w:val="clear" w:color="auto" w:fill="auto"/>
            <w:tcMar>
              <w:top w:w="100" w:type="dxa"/>
              <w:left w:w="100" w:type="dxa"/>
              <w:bottom w:w="100" w:type="dxa"/>
              <w:right w:w="100" w:type="dxa"/>
            </w:tcMar>
          </w:tcPr>
          <w:p w:rsidR="00804CB1" w:rsidRDefault="00705844">
            <w:pPr>
              <w:widowControl w:val="0"/>
              <w:pBdr>
                <w:top w:val="nil"/>
                <w:left w:val="nil"/>
                <w:bottom w:val="nil"/>
                <w:right w:val="nil"/>
                <w:between w:val="nil"/>
              </w:pBdr>
              <w:spacing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Primer Name</w:t>
            </w:r>
          </w:p>
        </w:tc>
        <w:tc>
          <w:tcPr>
            <w:tcW w:w="5820" w:type="dxa"/>
            <w:shd w:val="clear" w:color="auto" w:fill="auto"/>
            <w:tcMar>
              <w:top w:w="100" w:type="dxa"/>
              <w:left w:w="100" w:type="dxa"/>
              <w:bottom w:w="100" w:type="dxa"/>
              <w:right w:w="100" w:type="dxa"/>
            </w:tcMar>
          </w:tcPr>
          <w:p w:rsidR="00804CB1" w:rsidRDefault="00705844">
            <w:pPr>
              <w:widowControl w:val="0"/>
              <w:pBdr>
                <w:top w:val="nil"/>
                <w:left w:val="nil"/>
                <w:bottom w:val="nil"/>
                <w:right w:val="nil"/>
                <w:between w:val="nil"/>
              </w:pBdr>
              <w:spacing w:line="240" w:lineRule="auto"/>
              <w:rPr>
                <w:rFonts w:ascii="Times New Roman" w:eastAsia="Times New Roman" w:hAnsi="Times New Roman" w:cs="Times New Roman"/>
                <w:b/>
                <w:sz w:val="24"/>
                <w:szCs w:val="24"/>
                <w:highlight w:val="white"/>
              </w:rPr>
            </w:pPr>
            <w:r>
              <w:rPr>
                <w:rFonts w:ascii="Cardo" w:eastAsia="Cardo" w:hAnsi="Cardo" w:cs="Cardo"/>
                <w:b/>
                <w:sz w:val="24"/>
                <w:szCs w:val="24"/>
                <w:highlight w:val="white"/>
              </w:rPr>
              <w:t>Sequence (5’ → 3’)</w:t>
            </w:r>
          </w:p>
        </w:tc>
      </w:tr>
      <w:tr w:rsidR="00804CB1">
        <w:tc>
          <w:tcPr>
            <w:tcW w:w="1560" w:type="dxa"/>
            <w:shd w:val="clear" w:color="auto" w:fill="auto"/>
            <w:tcMar>
              <w:top w:w="100" w:type="dxa"/>
              <w:left w:w="100" w:type="dxa"/>
              <w:bottom w:w="100" w:type="dxa"/>
              <w:right w:w="100" w:type="dxa"/>
            </w:tcMar>
          </w:tcPr>
          <w:p w:rsidR="00804CB1" w:rsidRDefault="00705844">
            <w:pPr>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Forward</w:t>
            </w:r>
          </w:p>
        </w:tc>
        <w:tc>
          <w:tcPr>
            <w:tcW w:w="1980" w:type="dxa"/>
            <w:shd w:val="clear" w:color="auto" w:fill="auto"/>
            <w:tcMar>
              <w:top w:w="100" w:type="dxa"/>
              <w:left w:w="100" w:type="dxa"/>
              <w:bottom w:w="100" w:type="dxa"/>
              <w:right w:w="100" w:type="dxa"/>
            </w:tcMar>
          </w:tcPr>
          <w:p w:rsidR="00804CB1" w:rsidRDefault="00705844">
            <w:pPr>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ORF55_F1</w:t>
            </w:r>
          </w:p>
        </w:tc>
        <w:tc>
          <w:tcPr>
            <w:tcW w:w="5820" w:type="dxa"/>
            <w:shd w:val="clear" w:color="auto" w:fill="auto"/>
            <w:tcMar>
              <w:top w:w="100" w:type="dxa"/>
              <w:left w:w="100" w:type="dxa"/>
              <w:bottom w:w="100" w:type="dxa"/>
              <w:right w:w="100" w:type="dxa"/>
            </w:tcMar>
          </w:tcPr>
          <w:p w:rsidR="00804CB1" w:rsidRDefault="00705844">
            <w:pPr>
              <w:rPr>
                <w:rFonts w:ascii="Times New Roman" w:eastAsia="Times New Roman" w:hAnsi="Times New Roman" w:cs="Times New Roman"/>
                <w:b/>
                <w:sz w:val="24"/>
                <w:szCs w:val="24"/>
                <w:highlight w:val="white"/>
                <w:u w:val="single"/>
              </w:rPr>
            </w:pPr>
            <w:r>
              <w:rPr>
                <w:rFonts w:ascii="Times New Roman" w:eastAsia="Times New Roman" w:hAnsi="Times New Roman" w:cs="Times New Roman"/>
                <w:sz w:val="24"/>
                <w:szCs w:val="24"/>
                <w:highlight w:val="white"/>
              </w:rPr>
              <w:t>NNN</w:t>
            </w:r>
            <w:r>
              <w:rPr>
                <w:rFonts w:ascii="Times New Roman" w:eastAsia="Times New Roman" w:hAnsi="Times New Roman" w:cs="Times New Roman"/>
                <w:sz w:val="24"/>
                <w:szCs w:val="24"/>
                <w:highlight w:val="white"/>
                <w:u w:val="single"/>
              </w:rPr>
              <w:t>GCGATCGC</w:t>
            </w:r>
            <w:r>
              <w:rPr>
                <w:rFonts w:ascii="Times New Roman" w:eastAsia="Times New Roman" w:hAnsi="Times New Roman" w:cs="Times New Roman"/>
                <w:sz w:val="24"/>
                <w:szCs w:val="24"/>
                <w:highlight w:val="white"/>
              </w:rPr>
              <w:t>NATGAAAATTATTGTTAGTCC</w:t>
            </w:r>
          </w:p>
        </w:tc>
      </w:tr>
      <w:tr w:rsidR="00804CB1">
        <w:tc>
          <w:tcPr>
            <w:tcW w:w="1560" w:type="dxa"/>
            <w:shd w:val="clear" w:color="auto" w:fill="auto"/>
            <w:tcMar>
              <w:top w:w="100" w:type="dxa"/>
              <w:left w:w="100" w:type="dxa"/>
              <w:bottom w:w="100" w:type="dxa"/>
              <w:right w:w="100" w:type="dxa"/>
            </w:tcMar>
          </w:tcPr>
          <w:p w:rsidR="00804CB1" w:rsidRDefault="00705844">
            <w:pPr>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Forward</w:t>
            </w:r>
          </w:p>
        </w:tc>
        <w:tc>
          <w:tcPr>
            <w:tcW w:w="1980" w:type="dxa"/>
            <w:shd w:val="clear" w:color="auto" w:fill="auto"/>
            <w:tcMar>
              <w:top w:w="100" w:type="dxa"/>
              <w:left w:w="100" w:type="dxa"/>
              <w:bottom w:w="100" w:type="dxa"/>
              <w:right w:w="100" w:type="dxa"/>
            </w:tcMar>
          </w:tcPr>
          <w:p w:rsidR="00804CB1" w:rsidRDefault="00705844">
            <w:pPr>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ORF56_F2</w:t>
            </w:r>
          </w:p>
        </w:tc>
        <w:tc>
          <w:tcPr>
            <w:tcW w:w="5820" w:type="dxa"/>
            <w:shd w:val="clear" w:color="auto" w:fill="auto"/>
            <w:tcMar>
              <w:top w:w="100" w:type="dxa"/>
              <w:left w:w="100" w:type="dxa"/>
              <w:bottom w:w="100" w:type="dxa"/>
              <w:right w:w="100" w:type="dxa"/>
            </w:tcMar>
          </w:tcPr>
          <w:p w:rsidR="00804CB1" w:rsidRDefault="00705844">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NNN</w:t>
            </w:r>
            <w:r>
              <w:rPr>
                <w:rFonts w:ascii="Times New Roman" w:eastAsia="Times New Roman" w:hAnsi="Times New Roman" w:cs="Times New Roman"/>
                <w:sz w:val="24"/>
                <w:szCs w:val="24"/>
                <w:highlight w:val="white"/>
                <w:u w:val="single"/>
              </w:rPr>
              <w:t>GCGATCGCU</w:t>
            </w:r>
            <w:r>
              <w:rPr>
                <w:rFonts w:ascii="Times New Roman" w:eastAsia="Times New Roman" w:hAnsi="Times New Roman" w:cs="Times New Roman"/>
                <w:sz w:val="24"/>
                <w:szCs w:val="24"/>
                <w:highlight w:val="white"/>
              </w:rPr>
              <w:t>NATGAGTAGAAGAATAGAATT</w:t>
            </w:r>
          </w:p>
        </w:tc>
      </w:tr>
      <w:tr w:rsidR="00804CB1">
        <w:tc>
          <w:tcPr>
            <w:tcW w:w="1560" w:type="dxa"/>
            <w:shd w:val="clear" w:color="auto" w:fill="auto"/>
            <w:tcMar>
              <w:top w:w="100" w:type="dxa"/>
              <w:left w:w="100" w:type="dxa"/>
              <w:bottom w:w="100" w:type="dxa"/>
              <w:right w:w="100" w:type="dxa"/>
            </w:tcMar>
          </w:tcPr>
          <w:p w:rsidR="00804CB1" w:rsidRDefault="00705844">
            <w:pPr>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Reverse</w:t>
            </w:r>
          </w:p>
        </w:tc>
        <w:tc>
          <w:tcPr>
            <w:tcW w:w="1980" w:type="dxa"/>
            <w:shd w:val="clear" w:color="auto" w:fill="auto"/>
            <w:tcMar>
              <w:top w:w="100" w:type="dxa"/>
              <w:left w:w="100" w:type="dxa"/>
              <w:bottom w:w="100" w:type="dxa"/>
              <w:right w:w="100" w:type="dxa"/>
            </w:tcMar>
          </w:tcPr>
          <w:p w:rsidR="00804CB1" w:rsidRDefault="00705844">
            <w:pPr>
              <w:widowControl w:val="0"/>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ORF55_R1</w:t>
            </w:r>
          </w:p>
        </w:tc>
        <w:tc>
          <w:tcPr>
            <w:tcW w:w="5820" w:type="dxa"/>
            <w:shd w:val="clear" w:color="auto" w:fill="auto"/>
            <w:tcMar>
              <w:top w:w="100" w:type="dxa"/>
              <w:left w:w="100" w:type="dxa"/>
              <w:bottom w:w="100" w:type="dxa"/>
              <w:right w:w="100" w:type="dxa"/>
            </w:tcMar>
          </w:tcPr>
          <w:p w:rsidR="00804CB1" w:rsidRDefault="00705844">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NNN</w:t>
            </w:r>
            <w:r>
              <w:rPr>
                <w:rFonts w:ascii="Times New Roman" w:eastAsia="Times New Roman" w:hAnsi="Times New Roman" w:cs="Times New Roman"/>
                <w:sz w:val="24"/>
                <w:szCs w:val="24"/>
                <w:highlight w:val="white"/>
                <w:u w:val="single"/>
              </w:rPr>
              <w:t>GTTTAAAC</w:t>
            </w:r>
            <w:r>
              <w:rPr>
                <w:rFonts w:ascii="Times New Roman" w:eastAsia="Times New Roman" w:hAnsi="Times New Roman" w:cs="Times New Roman"/>
                <w:sz w:val="24"/>
                <w:szCs w:val="24"/>
                <w:highlight w:val="white"/>
              </w:rPr>
              <w:t>NTCCTCTTTTATTACTCATC</w:t>
            </w:r>
          </w:p>
        </w:tc>
      </w:tr>
      <w:tr w:rsidR="00804CB1">
        <w:tc>
          <w:tcPr>
            <w:tcW w:w="1560" w:type="dxa"/>
            <w:shd w:val="clear" w:color="auto" w:fill="auto"/>
            <w:tcMar>
              <w:top w:w="100" w:type="dxa"/>
              <w:left w:w="100" w:type="dxa"/>
              <w:bottom w:w="100" w:type="dxa"/>
              <w:right w:w="100" w:type="dxa"/>
            </w:tcMar>
          </w:tcPr>
          <w:p w:rsidR="00804CB1" w:rsidRDefault="00705844">
            <w:pPr>
              <w:widowControl w:val="0"/>
              <w:pBdr>
                <w:top w:val="nil"/>
                <w:left w:val="nil"/>
                <w:bottom w:val="nil"/>
                <w:right w:val="nil"/>
                <w:between w:val="nil"/>
              </w:pBd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Reverse</w:t>
            </w:r>
          </w:p>
        </w:tc>
        <w:tc>
          <w:tcPr>
            <w:tcW w:w="1980" w:type="dxa"/>
            <w:shd w:val="clear" w:color="auto" w:fill="auto"/>
            <w:tcMar>
              <w:top w:w="100" w:type="dxa"/>
              <w:left w:w="100" w:type="dxa"/>
              <w:bottom w:w="100" w:type="dxa"/>
              <w:right w:w="100" w:type="dxa"/>
            </w:tcMar>
          </w:tcPr>
          <w:p w:rsidR="00804CB1" w:rsidRDefault="00705844">
            <w:pPr>
              <w:widowControl w:val="0"/>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ORF56_R2</w:t>
            </w:r>
          </w:p>
        </w:tc>
        <w:tc>
          <w:tcPr>
            <w:tcW w:w="5820" w:type="dxa"/>
            <w:shd w:val="clear" w:color="auto" w:fill="auto"/>
            <w:tcMar>
              <w:top w:w="100" w:type="dxa"/>
              <w:left w:w="100" w:type="dxa"/>
              <w:bottom w:w="100" w:type="dxa"/>
              <w:right w:w="100" w:type="dxa"/>
            </w:tcMar>
          </w:tcPr>
          <w:p w:rsidR="00804CB1" w:rsidRDefault="00705844">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NNN</w:t>
            </w:r>
            <w:r>
              <w:rPr>
                <w:rFonts w:ascii="Times New Roman" w:eastAsia="Times New Roman" w:hAnsi="Times New Roman" w:cs="Times New Roman"/>
                <w:sz w:val="24"/>
                <w:szCs w:val="24"/>
                <w:highlight w:val="white"/>
                <w:u w:val="single"/>
              </w:rPr>
              <w:t>GTTTAAAC</w:t>
            </w:r>
            <w:r>
              <w:rPr>
                <w:rFonts w:ascii="Times New Roman" w:eastAsia="Times New Roman" w:hAnsi="Times New Roman" w:cs="Times New Roman"/>
                <w:sz w:val="24"/>
                <w:szCs w:val="24"/>
                <w:highlight w:val="white"/>
              </w:rPr>
              <w:t>NCCACGCTTAATAATTAATT</w:t>
            </w:r>
          </w:p>
        </w:tc>
      </w:tr>
    </w:tbl>
    <w:p w:rsidR="00804CB1" w:rsidRDefault="00804CB1">
      <w:pPr>
        <w:rPr>
          <w:rFonts w:ascii="Times New Roman" w:eastAsia="Times New Roman" w:hAnsi="Times New Roman" w:cs="Times New Roman"/>
          <w:b/>
          <w:sz w:val="20"/>
          <w:szCs w:val="20"/>
          <w:highlight w:val="white"/>
        </w:rPr>
      </w:pPr>
    </w:p>
    <w:p w:rsidR="00804CB1" w:rsidRDefault="00705844">
      <w:pPr>
        <w:rPr>
          <w:rFonts w:ascii="Times New Roman" w:eastAsia="Times New Roman" w:hAnsi="Times New Roman" w:cs="Times New Roman"/>
          <w:b/>
          <w:sz w:val="24"/>
          <w:szCs w:val="24"/>
          <w:highlight w:val="white"/>
        </w:rPr>
      </w:pPr>
      <w:r>
        <w:rPr>
          <w:rFonts w:ascii="Times New Roman" w:eastAsia="Times New Roman" w:hAnsi="Times New Roman" w:cs="Times New Roman"/>
          <w:b/>
          <w:sz w:val="20"/>
          <w:szCs w:val="20"/>
          <w:highlight w:val="white"/>
        </w:rPr>
        <w:t>Table 1.</w:t>
      </w:r>
      <w:r>
        <w:rPr>
          <w:rFonts w:ascii="Times New Roman" w:eastAsia="Times New Roman" w:hAnsi="Times New Roman" w:cs="Times New Roman"/>
          <w:sz w:val="20"/>
          <w:szCs w:val="20"/>
          <w:highlight w:val="white"/>
        </w:rPr>
        <w:t xml:space="preserve"> Primer Designs. Forward primers contain the SgfI restriction site (5’- GCGATCGC - 3’) and reverse primers contain the PmeI site (5’- GTTTAAAC - 3’).</w:t>
      </w:r>
    </w:p>
    <w:p w:rsidR="00804CB1" w:rsidRDefault="00804CB1">
      <w:pPr>
        <w:rPr>
          <w:rFonts w:ascii="Times New Roman" w:eastAsia="Times New Roman" w:hAnsi="Times New Roman" w:cs="Times New Roman"/>
          <w:sz w:val="24"/>
          <w:szCs w:val="24"/>
          <w:highlight w:val="white"/>
        </w:rPr>
      </w:pPr>
    </w:p>
    <w:p w:rsidR="00804CB1" w:rsidRDefault="002D78ED">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Once the target genes are purified, they are digested with </w:t>
      </w:r>
      <w:r>
        <w:rPr>
          <w:rFonts w:ascii="Times New Roman" w:eastAsia="Times New Roman" w:hAnsi="Times New Roman" w:cs="Times New Roman"/>
          <w:sz w:val="24"/>
          <w:szCs w:val="24"/>
          <w:highlight w:val="white"/>
        </w:rPr>
        <w:t>Flexi® Enzyme Blend (SgfI &amp; PmeI)</w:t>
      </w:r>
      <w:r>
        <w:rPr>
          <w:rFonts w:ascii="Times New Roman" w:eastAsia="Times New Roman" w:hAnsi="Times New Roman" w:cs="Times New Roman"/>
          <w:sz w:val="24"/>
          <w:szCs w:val="24"/>
          <w:highlight w:val="white"/>
        </w:rPr>
        <w:t xml:space="preserve"> to produce sticky ends, then ligated into </w:t>
      </w:r>
      <w:r w:rsidRPr="002D78ED">
        <w:rPr>
          <w:rFonts w:ascii="Times New Roman" w:eastAsia="Times New Roman" w:hAnsi="Times New Roman" w:cs="Times New Roman"/>
          <w:bCs/>
          <w:sz w:val="24"/>
          <w:szCs w:val="24"/>
          <w:highlight w:val="white"/>
        </w:rPr>
        <w:t>pFN29A His</w:t>
      </w:r>
      <w:r w:rsidRPr="002D78ED">
        <w:rPr>
          <w:rFonts w:ascii="Times New Roman" w:eastAsia="Times New Roman" w:hAnsi="Times New Roman" w:cs="Times New Roman"/>
          <w:bCs/>
          <w:sz w:val="24"/>
          <w:szCs w:val="24"/>
          <w:highlight w:val="white"/>
          <w:vertAlign w:val="subscript"/>
        </w:rPr>
        <w:t>6</w:t>
      </w:r>
      <w:r w:rsidRPr="002D78ED">
        <w:rPr>
          <w:rFonts w:ascii="Times New Roman" w:eastAsia="Times New Roman" w:hAnsi="Times New Roman" w:cs="Times New Roman"/>
          <w:bCs/>
          <w:sz w:val="24"/>
          <w:szCs w:val="24"/>
          <w:highlight w:val="white"/>
        </w:rPr>
        <w:t>HaloTag</w:t>
      </w:r>
      <w:r w:rsidRPr="002D78ED">
        <w:rPr>
          <w:rFonts w:ascii="Times New Roman" w:eastAsia="Times New Roman" w:hAnsi="Times New Roman" w:cs="Times New Roman"/>
          <w:bCs/>
          <w:sz w:val="24"/>
          <w:szCs w:val="24"/>
          <w:highlight w:val="white"/>
          <w:vertAlign w:val="superscript"/>
        </w:rPr>
        <w:t>®</w:t>
      </w:r>
      <w:r w:rsidRPr="002D78ED">
        <w:rPr>
          <w:rFonts w:ascii="Times New Roman" w:eastAsia="Times New Roman" w:hAnsi="Times New Roman" w:cs="Times New Roman"/>
          <w:bCs/>
          <w:sz w:val="24"/>
          <w:szCs w:val="24"/>
          <w:highlight w:val="white"/>
        </w:rPr>
        <w:t xml:space="preserve"> T7 Flexi</w:t>
      </w:r>
      <w:r w:rsidRPr="002D78ED">
        <w:rPr>
          <w:rFonts w:ascii="Times New Roman" w:eastAsia="Times New Roman" w:hAnsi="Times New Roman" w:cs="Times New Roman"/>
          <w:bCs/>
          <w:sz w:val="24"/>
          <w:szCs w:val="24"/>
          <w:highlight w:val="white"/>
          <w:vertAlign w:val="superscript"/>
        </w:rPr>
        <w:t>®</w:t>
      </w:r>
      <w:r w:rsidRPr="002D78ED">
        <w:rPr>
          <w:rFonts w:ascii="Times New Roman" w:eastAsia="Times New Roman" w:hAnsi="Times New Roman" w:cs="Times New Roman"/>
          <w:bCs/>
          <w:sz w:val="24"/>
          <w:szCs w:val="24"/>
          <w:highlight w:val="white"/>
        </w:rPr>
        <w:t xml:space="preserve"> plasmid</w:t>
      </w:r>
      <w:r w:rsidRPr="002D78ED">
        <w:rPr>
          <w:rFonts w:ascii="Times New Roman" w:eastAsia="Times New Roman" w:hAnsi="Times New Roman" w:cs="Times New Roman"/>
          <w:bCs/>
          <w:sz w:val="24"/>
          <w:szCs w:val="24"/>
          <w:highlight w:val="white"/>
        </w:rPr>
        <w:t>s</w:t>
      </w:r>
      <w:r>
        <w:rPr>
          <w:rFonts w:ascii="Times New Roman" w:eastAsia="Times New Roman" w:hAnsi="Times New Roman" w:cs="Times New Roman"/>
          <w:sz w:val="24"/>
          <w:szCs w:val="24"/>
          <w:highlight w:val="white"/>
        </w:rPr>
        <w:t xml:space="preserve">. Sanger sequencing is used to verify the accuracy of the insert. </w:t>
      </w:r>
      <w:r w:rsidRPr="002D78ED">
        <w:rPr>
          <w:rFonts w:ascii="Times New Roman" w:eastAsia="Times New Roman" w:hAnsi="Times New Roman" w:cs="Times New Roman"/>
          <w:sz w:val="24"/>
          <w:szCs w:val="24"/>
        </w:rPr>
        <w:t xml:space="preserve">JM109 Competent Cells </w:t>
      </w:r>
      <w:r w:rsidR="00EC788E" w:rsidRPr="002D78ED">
        <w:rPr>
          <w:rFonts w:ascii="Times New Roman" w:eastAsia="Times New Roman" w:hAnsi="Times New Roman" w:cs="Times New Roman"/>
          <w:sz w:val="24"/>
          <w:szCs w:val="24"/>
        </w:rPr>
        <w:t>(</w:t>
      </w:r>
      <w:r w:rsidR="00EC788E" w:rsidRPr="00EC788E">
        <w:rPr>
          <w:rFonts w:ascii="Times New Roman" w:eastAsia="Times New Roman" w:hAnsi="Times New Roman" w:cs="Times New Roman"/>
          <w:i/>
          <w:iCs/>
          <w:sz w:val="24"/>
          <w:szCs w:val="24"/>
        </w:rPr>
        <w:t>E.</w:t>
      </w:r>
      <w:r w:rsidRPr="00EC788E">
        <w:rPr>
          <w:rFonts w:ascii="Times New Roman" w:eastAsia="Times New Roman" w:hAnsi="Times New Roman" w:cs="Times New Roman"/>
          <w:i/>
          <w:iCs/>
          <w:sz w:val="24"/>
          <w:szCs w:val="24"/>
        </w:rPr>
        <w:t xml:space="preserve"> coli</w:t>
      </w:r>
      <w:r w:rsidRPr="002D78ED">
        <w:rPr>
          <w:rFonts w:ascii="Times New Roman" w:eastAsia="Times New Roman" w:hAnsi="Times New Roman" w:cs="Times New Roman"/>
          <w:sz w:val="24"/>
          <w:szCs w:val="24"/>
        </w:rPr>
        <w:t xml:space="preserve"> host organism which contains a T7 RNA Polymerase gene) </w:t>
      </w:r>
      <w:r>
        <w:rPr>
          <w:rFonts w:ascii="Times New Roman" w:eastAsia="Times New Roman" w:hAnsi="Times New Roman" w:cs="Times New Roman"/>
          <w:sz w:val="24"/>
          <w:szCs w:val="24"/>
        </w:rPr>
        <w:t>are fed the plasmid vectors using a heat shock method. The plasmid-exposed cells are grown on ampicillin treated agar plates</w:t>
      </w:r>
      <w:r w:rsidR="00EC788E">
        <w:rPr>
          <w:rFonts w:ascii="Times New Roman" w:eastAsia="Times New Roman" w:hAnsi="Times New Roman" w:cs="Times New Roman"/>
          <w:sz w:val="24"/>
          <w:szCs w:val="24"/>
        </w:rPr>
        <w:t xml:space="preserve"> where only cells containing the plasmid can survive</w:t>
      </w:r>
      <w:r>
        <w:rPr>
          <w:rFonts w:ascii="Times New Roman" w:eastAsia="Times New Roman" w:hAnsi="Times New Roman" w:cs="Times New Roman"/>
          <w:sz w:val="24"/>
          <w:szCs w:val="24"/>
        </w:rPr>
        <w:t xml:space="preserve">. </w:t>
      </w:r>
      <w:r w:rsidR="00705844">
        <w:rPr>
          <w:rFonts w:ascii="Times New Roman" w:eastAsia="Times New Roman" w:hAnsi="Times New Roman" w:cs="Times New Roman"/>
          <w:sz w:val="24"/>
          <w:szCs w:val="24"/>
          <w:highlight w:val="white"/>
        </w:rPr>
        <w:t>JM109 cells containing the Flexi</w:t>
      </w:r>
      <w:r w:rsidR="00705844">
        <w:rPr>
          <w:rFonts w:ascii="Times New Roman" w:eastAsia="Times New Roman" w:hAnsi="Times New Roman" w:cs="Times New Roman"/>
          <w:sz w:val="24"/>
          <w:szCs w:val="24"/>
          <w:highlight w:val="white"/>
          <w:vertAlign w:val="superscript"/>
        </w:rPr>
        <w:t xml:space="preserve">® </w:t>
      </w:r>
      <w:r w:rsidR="00705844">
        <w:rPr>
          <w:rFonts w:ascii="Times New Roman" w:eastAsia="Times New Roman" w:hAnsi="Times New Roman" w:cs="Times New Roman"/>
          <w:sz w:val="24"/>
          <w:szCs w:val="24"/>
          <w:highlight w:val="white"/>
        </w:rPr>
        <w:t>plasmid vector begin constitutively expressing the target g</w:t>
      </w:r>
      <w:r w:rsidR="00705844">
        <w:rPr>
          <w:rFonts w:ascii="Times New Roman" w:eastAsia="Times New Roman" w:hAnsi="Times New Roman" w:cs="Times New Roman"/>
          <w:sz w:val="24"/>
          <w:szCs w:val="24"/>
          <w:highlight w:val="white"/>
        </w:rPr>
        <w:t xml:space="preserve">ene </w:t>
      </w:r>
      <w:r w:rsidR="00EC788E">
        <w:rPr>
          <w:rFonts w:ascii="Times New Roman" w:eastAsia="Times New Roman" w:hAnsi="Times New Roman" w:cs="Times New Roman"/>
          <w:sz w:val="24"/>
          <w:szCs w:val="24"/>
          <w:highlight w:val="white"/>
        </w:rPr>
        <w:t xml:space="preserve">upon </w:t>
      </w:r>
      <w:r w:rsidR="00705844">
        <w:rPr>
          <w:rFonts w:ascii="Times New Roman" w:eastAsia="Times New Roman" w:hAnsi="Times New Roman" w:cs="Times New Roman"/>
          <w:sz w:val="24"/>
          <w:szCs w:val="24"/>
          <w:highlight w:val="white"/>
        </w:rPr>
        <w:t xml:space="preserve">the activation of their T7 RNA Polymerase gene with Isopropyl β-D-1-thiogalactopyranoside (IPTG). </w:t>
      </w:r>
    </w:p>
    <w:p w:rsidR="00804CB1" w:rsidRDefault="00804CB1">
      <w:pPr>
        <w:rPr>
          <w:rFonts w:ascii="Times New Roman" w:eastAsia="Times New Roman" w:hAnsi="Times New Roman" w:cs="Times New Roman"/>
          <w:sz w:val="24"/>
          <w:szCs w:val="24"/>
          <w:highlight w:val="white"/>
        </w:rPr>
      </w:pPr>
    </w:p>
    <w:p w:rsidR="00804CB1" w:rsidRDefault="00705844">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Due to the presen</w:t>
      </w:r>
      <w:r>
        <w:rPr>
          <w:rFonts w:ascii="Times New Roman" w:eastAsia="Times New Roman" w:hAnsi="Times New Roman" w:cs="Times New Roman"/>
          <w:sz w:val="24"/>
          <w:szCs w:val="24"/>
        </w:rPr>
        <w:t xml:space="preserve">ce of the </w:t>
      </w:r>
      <w:r>
        <w:rPr>
          <w:rFonts w:ascii="Times New Roman" w:eastAsia="Times New Roman" w:hAnsi="Times New Roman" w:cs="Times New Roman"/>
          <w:sz w:val="24"/>
          <w:szCs w:val="24"/>
          <w:highlight w:val="white"/>
        </w:rPr>
        <w:t>N-terminal His</w:t>
      </w:r>
      <w:r>
        <w:rPr>
          <w:rFonts w:ascii="Times New Roman" w:eastAsia="Times New Roman" w:hAnsi="Times New Roman" w:cs="Times New Roman"/>
          <w:sz w:val="24"/>
          <w:szCs w:val="24"/>
          <w:highlight w:val="white"/>
          <w:vertAlign w:val="subscript"/>
        </w:rPr>
        <w:t>6</w:t>
      </w:r>
      <w:r>
        <w:rPr>
          <w:rFonts w:ascii="Times New Roman" w:eastAsia="Times New Roman" w:hAnsi="Times New Roman" w:cs="Times New Roman"/>
          <w:sz w:val="24"/>
          <w:szCs w:val="24"/>
          <w:highlight w:val="white"/>
        </w:rPr>
        <w:t>HaloTag</w:t>
      </w:r>
      <w:r>
        <w:rPr>
          <w:rFonts w:ascii="Times New Roman" w:eastAsia="Times New Roman" w:hAnsi="Times New Roman" w:cs="Times New Roman"/>
          <w:sz w:val="24"/>
          <w:szCs w:val="24"/>
          <w:highlight w:val="white"/>
          <w:vertAlign w:val="superscript"/>
        </w:rPr>
        <w:t>®</w:t>
      </w:r>
      <w:r>
        <w:rPr>
          <w:rFonts w:ascii="Times New Roman" w:eastAsia="Times New Roman" w:hAnsi="Times New Roman" w:cs="Times New Roman"/>
          <w:sz w:val="24"/>
          <w:szCs w:val="24"/>
          <w:highlight w:val="white"/>
        </w:rPr>
        <w:t xml:space="preserve"> region in the Flexi</w:t>
      </w:r>
      <w:r>
        <w:rPr>
          <w:rFonts w:ascii="Times New Roman" w:eastAsia="Times New Roman" w:hAnsi="Times New Roman" w:cs="Times New Roman"/>
          <w:sz w:val="24"/>
          <w:szCs w:val="24"/>
          <w:highlight w:val="white"/>
          <w:vertAlign w:val="superscript"/>
        </w:rPr>
        <w:t xml:space="preserve">® </w:t>
      </w:r>
      <w:r>
        <w:rPr>
          <w:rFonts w:ascii="Times New Roman" w:eastAsia="Times New Roman" w:hAnsi="Times New Roman" w:cs="Times New Roman"/>
          <w:sz w:val="24"/>
          <w:szCs w:val="24"/>
          <w:highlight w:val="white"/>
        </w:rPr>
        <w:t xml:space="preserve">plasmid vector, all synthesized proteins are labeled with a poly-Histidine tag. These tags enable the easy purification of target proteins. </w:t>
      </w:r>
      <w:r>
        <w:rPr>
          <w:noProof/>
        </w:rPr>
        <w:drawing>
          <wp:anchor distT="114300" distB="114300" distL="114300" distR="114300" simplePos="0" relativeHeight="251659264" behindDoc="0" locked="0" layoutInCell="1" hidden="0" allowOverlap="1">
            <wp:simplePos x="0" y="0"/>
            <wp:positionH relativeFrom="column">
              <wp:posOffset>19051</wp:posOffset>
            </wp:positionH>
            <wp:positionV relativeFrom="paragraph">
              <wp:posOffset>114300</wp:posOffset>
            </wp:positionV>
            <wp:extent cx="2014538" cy="4322862"/>
            <wp:effectExtent l="0" t="0" r="0" b="0"/>
            <wp:wrapSquare wrapText="bothSides" distT="114300" distB="114300" distL="114300" distR="11430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2014538" cy="4322862"/>
                    </a:xfrm>
                    <a:prstGeom prst="rect">
                      <a:avLst/>
                    </a:prstGeom>
                    <a:ln/>
                  </pic:spPr>
                </pic:pic>
              </a:graphicData>
            </a:graphic>
          </wp:anchor>
        </w:drawing>
      </w:r>
    </w:p>
    <w:p w:rsidR="00804CB1" w:rsidRPr="00EC788E" w:rsidRDefault="00804CB1">
      <w:pPr>
        <w:rPr>
          <w:rFonts w:ascii="Times New Roman" w:eastAsia="Times New Roman" w:hAnsi="Times New Roman" w:cs="Times New Roman"/>
          <w:sz w:val="28"/>
          <w:szCs w:val="28"/>
          <w:highlight w:val="white"/>
        </w:rPr>
      </w:pPr>
    </w:p>
    <w:p w:rsidR="00804CB1" w:rsidRPr="00EC788E" w:rsidRDefault="00EC788E">
      <w:pPr>
        <w:rPr>
          <w:rFonts w:ascii="Times New Roman" w:eastAsia="Times New Roman" w:hAnsi="Times New Roman" w:cs="Times New Roman"/>
          <w:sz w:val="28"/>
          <w:szCs w:val="28"/>
          <w:highlight w:val="white"/>
        </w:rPr>
      </w:pPr>
      <w:r w:rsidRPr="00EC788E">
        <w:rPr>
          <w:rFonts w:ascii="Times New Roman" w:hAnsi="Times New Roman" w:cs="Times New Roman"/>
          <w:color w:val="000000"/>
          <w:sz w:val="24"/>
          <w:szCs w:val="24"/>
          <w:shd w:val="clear" w:color="auto" w:fill="FFFFFF"/>
        </w:rPr>
        <w:t>Purification occurs when nitrogen atoms in the poly-His region of the target protein form ionic bonds with nickel ions magnetically bound to the reaction tube. When this interaction occurs, tagged proteins are retained in the tube while non-tagged molecules are washed away.</w:t>
      </w:r>
    </w:p>
    <w:p w:rsidR="00804CB1" w:rsidRDefault="00705844">
      <w:pPr>
        <w:rPr>
          <w:rFonts w:ascii="Times New Roman" w:eastAsia="Times New Roman" w:hAnsi="Times New Roman" w:cs="Times New Roman"/>
          <w:b/>
          <w:sz w:val="24"/>
          <w:szCs w:val="24"/>
          <w:highlight w:val="white"/>
        </w:rPr>
      </w:pPr>
      <w:r>
        <w:rPr>
          <w:rFonts w:ascii="Times New Roman" w:eastAsia="Times New Roman" w:hAnsi="Times New Roman" w:cs="Times New Roman"/>
          <w:b/>
          <w:noProof/>
          <w:sz w:val="24"/>
          <w:szCs w:val="24"/>
          <w:highlight w:val="white"/>
        </w:rPr>
        <w:lastRenderedPageBreak/>
        <w:drawing>
          <wp:inline distT="114300" distB="114300" distL="114300" distR="114300">
            <wp:extent cx="4395788" cy="2074332"/>
            <wp:effectExtent l="0" t="0" r="0" b="0"/>
            <wp:docPr id="1" name="image1.jpg" descr="See the source image"/>
            <wp:cNvGraphicFramePr/>
            <a:graphic xmlns:a="http://schemas.openxmlformats.org/drawingml/2006/main">
              <a:graphicData uri="http://schemas.openxmlformats.org/drawingml/2006/picture">
                <pic:pic xmlns:pic="http://schemas.openxmlformats.org/drawingml/2006/picture">
                  <pic:nvPicPr>
                    <pic:cNvPr id="0" name="image1.jpg" descr="See the source image"/>
                    <pic:cNvPicPr preferRelativeResize="0"/>
                  </pic:nvPicPr>
                  <pic:blipFill>
                    <a:blip r:embed="rId9"/>
                    <a:srcRect r="2166"/>
                    <a:stretch>
                      <a:fillRect/>
                    </a:stretch>
                  </pic:blipFill>
                  <pic:spPr>
                    <a:xfrm>
                      <a:off x="0" y="0"/>
                      <a:ext cx="4395788" cy="2074332"/>
                    </a:xfrm>
                    <a:prstGeom prst="rect">
                      <a:avLst/>
                    </a:prstGeom>
                    <a:ln/>
                  </pic:spPr>
                </pic:pic>
              </a:graphicData>
            </a:graphic>
          </wp:inline>
        </w:drawing>
      </w:r>
    </w:p>
    <w:p w:rsidR="00804CB1" w:rsidRDefault="00804CB1">
      <w:pPr>
        <w:rPr>
          <w:rFonts w:ascii="Times New Roman" w:eastAsia="Times New Roman" w:hAnsi="Times New Roman" w:cs="Times New Roman"/>
          <w:sz w:val="20"/>
          <w:szCs w:val="20"/>
          <w:highlight w:val="white"/>
        </w:rPr>
      </w:pPr>
    </w:p>
    <w:p w:rsidR="00804CB1" w:rsidRDefault="00705844">
      <w:pP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Figure 4. </w:t>
      </w:r>
      <w:r>
        <w:rPr>
          <w:rFonts w:ascii="Times New Roman" w:eastAsia="Times New Roman" w:hAnsi="Times New Roman" w:cs="Times New Roman"/>
          <w:sz w:val="20"/>
          <w:szCs w:val="20"/>
          <w:highlight w:val="white"/>
        </w:rPr>
        <w:t xml:space="preserve">Removal of </w:t>
      </w:r>
      <w:r w:rsidR="00EC788E" w:rsidRPr="00EC788E">
        <w:rPr>
          <w:rFonts w:ascii="Times New Roman" w:eastAsia="Times New Roman" w:hAnsi="Times New Roman" w:cs="Times New Roman"/>
          <w:sz w:val="20"/>
          <w:szCs w:val="20"/>
        </w:rPr>
        <w:t xml:space="preserve">His6HaloTag® </w:t>
      </w:r>
      <w:r>
        <w:rPr>
          <w:rFonts w:ascii="Times New Roman" w:eastAsia="Times New Roman" w:hAnsi="Times New Roman" w:cs="Times New Roman"/>
          <w:sz w:val="20"/>
          <w:szCs w:val="20"/>
          <w:highlight w:val="white"/>
        </w:rPr>
        <w:t xml:space="preserve">tags from protein of interest. </w:t>
      </w:r>
    </w:p>
    <w:p w:rsidR="00804CB1" w:rsidRDefault="00804CB1">
      <w:pPr>
        <w:rPr>
          <w:rFonts w:ascii="Times New Roman" w:eastAsia="Times New Roman" w:hAnsi="Times New Roman" w:cs="Times New Roman"/>
          <w:sz w:val="20"/>
          <w:szCs w:val="20"/>
          <w:highlight w:val="white"/>
        </w:rPr>
      </w:pPr>
    </w:p>
    <w:p w:rsidR="00804CB1" w:rsidRPr="00EC788E" w:rsidRDefault="00705844">
      <w:pPr>
        <w:rPr>
          <w:rFonts w:ascii="Times New Roman" w:eastAsia="Times New Roman" w:hAnsi="Times New Roman" w:cs="Times New Roman"/>
          <w:sz w:val="24"/>
          <w:szCs w:val="24"/>
          <w:highlight w:val="white"/>
          <w:lang w:val="en-US"/>
        </w:rPr>
      </w:pPr>
      <w:r>
        <w:rPr>
          <w:rFonts w:ascii="Times New Roman" w:eastAsia="Times New Roman" w:hAnsi="Times New Roman" w:cs="Times New Roman"/>
          <w:sz w:val="24"/>
          <w:szCs w:val="24"/>
          <w:highlight w:val="white"/>
        </w:rPr>
        <w:t>The purified proteins still contain their His</w:t>
      </w:r>
      <w:r>
        <w:rPr>
          <w:rFonts w:ascii="Times New Roman" w:eastAsia="Times New Roman" w:hAnsi="Times New Roman" w:cs="Times New Roman"/>
          <w:sz w:val="24"/>
          <w:szCs w:val="24"/>
          <w:highlight w:val="white"/>
          <w:vertAlign w:val="subscript"/>
        </w:rPr>
        <w:t>6</w:t>
      </w:r>
      <w:r>
        <w:rPr>
          <w:rFonts w:ascii="Times New Roman" w:eastAsia="Times New Roman" w:hAnsi="Times New Roman" w:cs="Times New Roman"/>
          <w:sz w:val="24"/>
          <w:szCs w:val="24"/>
          <w:highlight w:val="white"/>
        </w:rPr>
        <w:t>HaloTag</w:t>
      </w:r>
      <w:proofErr w:type="gramStart"/>
      <w:r>
        <w:rPr>
          <w:rFonts w:ascii="Times New Roman" w:eastAsia="Times New Roman" w:hAnsi="Times New Roman" w:cs="Times New Roman"/>
          <w:sz w:val="24"/>
          <w:szCs w:val="24"/>
          <w:highlight w:val="white"/>
          <w:vertAlign w:val="superscript"/>
        </w:rPr>
        <w:t xml:space="preserve">® </w:t>
      </w:r>
      <w:r>
        <w:rPr>
          <w:rFonts w:ascii="Times New Roman" w:eastAsia="Times New Roman" w:hAnsi="Times New Roman" w:cs="Times New Roman"/>
          <w:sz w:val="24"/>
          <w:szCs w:val="24"/>
          <w:highlight w:val="white"/>
        </w:rPr>
        <w:t>.</w:t>
      </w:r>
      <w:proofErr w:type="gramEnd"/>
      <w:r>
        <w:rPr>
          <w:rFonts w:ascii="Times New Roman" w:eastAsia="Times New Roman" w:hAnsi="Times New Roman" w:cs="Times New Roman"/>
          <w:sz w:val="24"/>
          <w:szCs w:val="24"/>
          <w:highlight w:val="white"/>
        </w:rPr>
        <w:t xml:space="preserve"> To remove this tag, the proteins must be treated with TEV Protease.</w:t>
      </w:r>
      <w:r w:rsidR="00EC788E">
        <w:rPr>
          <w:rFonts w:ascii="Times New Roman" w:eastAsia="Times New Roman" w:hAnsi="Times New Roman" w:cs="Times New Roman"/>
          <w:sz w:val="24"/>
          <w:szCs w:val="24"/>
          <w:highlight w:val="white"/>
        </w:rPr>
        <w:t xml:space="preserve"> </w:t>
      </w:r>
      <w:r w:rsidR="00EC788E" w:rsidRPr="00EC788E">
        <w:rPr>
          <w:rFonts w:ascii="Times New Roman" w:eastAsia="Times New Roman" w:hAnsi="Times New Roman" w:cs="Times New Roman"/>
          <w:sz w:val="24"/>
          <w:szCs w:val="24"/>
        </w:rPr>
        <w:t xml:space="preserve">The enzyme functions by cleaving </w:t>
      </w:r>
      <w:r w:rsidR="00EC788E">
        <w:rPr>
          <w:rFonts w:ascii="Times New Roman" w:eastAsia="Times New Roman" w:hAnsi="Times New Roman" w:cs="Times New Roman"/>
          <w:sz w:val="24"/>
          <w:szCs w:val="24"/>
        </w:rPr>
        <w:t xml:space="preserve">the connective </w:t>
      </w:r>
      <w:r w:rsidR="00EC788E" w:rsidRPr="00EC788E">
        <w:rPr>
          <w:rFonts w:ascii="Times New Roman" w:eastAsia="Times New Roman" w:hAnsi="Times New Roman" w:cs="Times New Roman"/>
          <w:sz w:val="24"/>
          <w:szCs w:val="24"/>
        </w:rPr>
        <w:t>sequence linking the target protein to the tag.</w:t>
      </w:r>
      <w:r w:rsidR="00EC788E">
        <w:rPr>
          <w:rFonts w:ascii="Times New Roman" w:eastAsia="Times New Roman" w:hAnsi="Times New Roman" w:cs="Times New Roman"/>
          <w:sz w:val="24"/>
          <w:szCs w:val="24"/>
        </w:rPr>
        <w:t xml:space="preserve"> </w:t>
      </w:r>
    </w:p>
    <w:p w:rsidR="00804CB1" w:rsidRDefault="00804CB1">
      <w:pPr>
        <w:rPr>
          <w:rFonts w:ascii="Times New Roman" w:eastAsia="Times New Roman" w:hAnsi="Times New Roman" w:cs="Times New Roman"/>
          <w:sz w:val="24"/>
          <w:szCs w:val="24"/>
          <w:highlight w:val="white"/>
        </w:rPr>
      </w:pPr>
    </w:p>
    <w:p w:rsidR="00804CB1" w:rsidRDefault="00705844">
      <w:pPr>
        <w:rPr>
          <w:rFonts w:ascii="Times New Roman" w:eastAsia="Times New Roman" w:hAnsi="Times New Roman" w:cs="Times New Roman"/>
          <w:b/>
          <w:sz w:val="24"/>
          <w:szCs w:val="24"/>
          <w:highlight w:val="white"/>
        </w:rPr>
      </w:pPr>
      <w:r>
        <w:rPr>
          <w:rFonts w:ascii="Times New Roman" w:eastAsia="Times New Roman" w:hAnsi="Times New Roman" w:cs="Times New Roman"/>
          <w:b/>
          <w:noProof/>
          <w:sz w:val="24"/>
          <w:szCs w:val="24"/>
          <w:highlight w:val="white"/>
        </w:rPr>
        <w:drawing>
          <wp:inline distT="114300" distB="114300" distL="114300" distR="114300">
            <wp:extent cx="3814763" cy="1552520"/>
            <wp:effectExtent l="0" t="0" r="0" b="0"/>
            <wp:docPr id="5" name="image3.gif" descr="Enzyme"/>
            <wp:cNvGraphicFramePr/>
            <a:graphic xmlns:a="http://schemas.openxmlformats.org/drawingml/2006/main">
              <a:graphicData uri="http://schemas.openxmlformats.org/drawingml/2006/picture">
                <pic:pic xmlns:pic="http://schemas.openxmlformats.org/drawingml/2006/picture">
                  <pic:nvPicPr>
                    <pic:cNvPr id="0" name="image3.gif" descr="Enzyme"/>
                    <pic:cNvPicPr preferRelativeResize="0"/>
                  </pic:nvPicPr>
                  <pic:blipFill>
                    <a:blip r:embed="rId10"/>
                    <a:srcRect/>
                    <a:stretch>
                      <a:fillRect/>
                    </a:stretch>
                  </pic:blipFill>
                  <pic:spPr>
                    <a:xfrm>
                      <a:off x="0" y="0"/>
                      <a:ext cx="3814763" cy="1552520"/>
                    </a:xfrm>
                    <a:prstGeom prst="rect">
                      <a:avLst/>
                    </a:prstGeom>
                    <a:ln/>
                  </pic:spPr>
                </pic:pic>
              </a:graphicData>
            </a:graphic>
          </wp:inline>
        </w:drawing>
      </w:r>
    </w:p>
    <w:p w:rsidR="00804CB1" w:rsidRDefault="00705844">
      <w:pP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Figure 5. </w:t>
      </w:r>
      <w:r>
        <w:rPr>
          <w:rFonts w:ascii="Times New Roman" w:eastAsia="Times New Roman" w:hAnsi="Times New Roman" w:cs="Times New Roman"/>
          <w:sz w:val="20"/>
          <w:szCs w:val="20"/>
          <w:highlight w:val="white"/>
        </w:rPr>
        <w:t>Fluorescently</w:t>
      </w:r>
      <w:r w:rsidR="00DD6B94">
        <w:rPr>
          <w:rFonts w:ascii="Times New Roman" w:eastAsia="Times New Roman" w:hAnsi="Times New Roman" w:cs="Times New Roman"/>
          <w:sz w:val="20"/>
          <w:szCs w:val="20"/>
          <w:highlight w:val="white"/>
        </w:rPr>
        <w:t xml:space="preserve"> </w:t>
      </w:r>
      <w:r>
        <w:rPr>
          <w:rFonts w:ascii="Times New Roman" w:eastAsia="Times New Roman" w:hAnsi="Times New Roman" w:cs="Times New Roman"/>
          <w:sz w:val="20"/>
          <w:szCs w:val="20"/>
          <w:highlight w:val="white"/>
        </w:rPr>
        <w:t>tagged substrates when exposed to enzyme.</w:t>
      </w:r>
    </w:p>
    <w:p w:rsidR="00804CB1" w:rsidRDefault="00804CB1">
      <w:pPr>
        <w:rPr>
          <w:rFonts w:ascii="Times New Roman" w:eastAsia="Times New Roman" w:hAnsi="Times New Roman" w:cs="Times New Roman"/>
          <w:sz w:val="20"/>
          <w:szCs w:val="20"/>
          <w:highlight w:val="white"/>
        </w:rPr>
      </w:pPr>
    </w:p>
    <w:p w:rsidR="00804CB1" w:rsidRDefault="00705844">
      <w:pPr>
        <w:rPr>
          <w:rFonts w:ascii="Times New Roman" w:eastAsia="Times New Roman" w:hAnsi="Times New Roman" w:cs="Times New Roman"/>
          <w:sz w:val="24"/>
          <w:szCs w:val="24"/>
          <w:highlight w:val="white"/>
        </w:rPr>
      </w:pPr>
      <w:r w:rsidRPr="00705844">
        <w:rPr>
          <w:rFonts w:ascii="Times New Roman" w:eastAsia="Times New Roman" w:hAnsi="Times New Roman" w:cs="Times New Roman"/>
          <w:sz w:val="24"/>
          <w:szCs w:val="24"/>
        </w:rPr>
        <w:t xml:space="preserve">Collagenase activity was determined using the </w:t>
      </w:r>
      <w:proofErr w:type="spellStart"/>
      <w:r w:rsidRPr="00705844">
        <w:rPr>
          <w:rFonts w:ascii="Times New Roman" w:eastAsia="Times New Roman" w:hAnsi="Times New Roman" w:cs="Times New Roman"/>
          <w:sz w:val="24"/>
          <w:szCs w:val="24"/>
        </w:rPr>
        <w:t>EnzChek</w:t>
      </w:r>
      <w:proofErr w:type="spellEnd"/>
      <w:r w:rsidRPr="00705844">
        <w:rPr>
          <w:rFonts w:ascii="Times New Roman" w:eastAsia="Times New Roman" w:hAnsi="Times New Roman" w:cs="Times New Roman"/>
          <w:sz w:val="24"/>
          <w:szCs w:val="24"/>
        </w:rPr>
        <w:t xml:space="preserve"> Gelatinase/Collagenase Assay Kit. The package came with a variety of </w:t>
      </w:r>
      <w:r w:rsidRPr="00705844">
        <w:rPr>
          <w:rFonts w:ascii="Times New Roman" w:eastAsia="Times New Roman" w:hAnsi="Times New Roman" w:cs="Times New Roman"/>
          <w:sz w:val="24"/>
          <w:szCs w:val="24"/>
        </w:rPr>
        <w:t>fluorescently tagged</w:t>
      </w:r>
      <w:r w:rsidRPr="00705844">
        <w:rPr>
          <w:rFonts w:ascii="Times New Roman" w:eastAsia="Times New Roman" w:hAnsi="Times New Roman" w:cs="Times New Roman"/>
          <w:sz w:val="24"/>
          <w:szCs w:val="24"/>
        </w:rPr>
        <w:t xml:space="preserve"> substrates including collagen type I from bovine skin, collagen type III from human placenta, and gelatin from pig skin. The assay works by measuring changes in fluorescence. As a substrate is broken down into smaller fragments by a collagenase enzyme, more light is emitted. Using this method, collagenase activity is directly linked to the amount of fluorescence emitted from a given substrate after exposure to a proteolytic enzyme (</w:t>
      </w:r>
      <w:r w:rsidRPr="00705844">
        <w:rPr>
          <w:rFonts w:ascii="Times New Roman" w:eastAsia="Times New Roman" w:hAnsi="Times New Roman" w:cs="Times New Roman"/>
          <w:sz w:val="24"/>
          <w:szCs w:val="24"/>
        </w:rPr>
        <w:t>i.e.</w:t>
      </w:r>
      <w:r w:rsidRPr="00705844">
        <w:rPr>
          <w:rFonts w:ascii="Times New Roman" w:eastAsia="Times New Roman" w:hAnsi="Times New Roman" w:cs="Times New Roman"/>
          <w:sz w:val="24"/>
          <w:szCs w:val="24"/>
        </w:rPr>
        <w:t xml:space="preserve"> high fluorescence corresponds to high enzymatic activity).</w:t>
      </w:r>
      <w:r w:rsidRPr="00705844">
        <w:rPr>
          <w:rFonts w:ascii="Times New Roman" w:eastAsia="Times New Roman" w:hAnsi="Times New Roman" w:cs="Times New Roman"/>
          <w:sz w:val="24"/>
          <w:szCs w:val="24"/>
        </w:rPr>
        <w:t xml:space="preserve"> </w:t>
      </w:r>
      <w:r w:rsidRPr="00705844">
        <w:rPr>
          <w:rFonts w:ascii="Times New Roman" w:eastAsia="Times New Roman" w:hAnsi="Times New Roman" w:cs="Times New Roman"/>
          <w:sz w:val="24"/>
          <w:szCs w:val="24"/>
        </w:rPr>
        <w:t>Fluorescent activity can be measured and compared between the two ORFs using a fluorescence microplate reader.</w:t>
      </w:r>
      <w:r>
        <w:rPr>
          <w:rFonts w:ascii="Times New Roman" w:eastAsia="Times New Roman" w:hAnsi="Times New Roman" w:cs="Times New Roman"/>
          <w:sz w:val="24"/>
          <w:szCs w:val="24"/>
          <w:highlight w:val="white"/>
        </w:rPr>
        <w:t xml:space="preserve"> (Figure 6 displays sample results obtained from reader). </w:t>
      </w:r>
    </w:p>
    <w:p w:rsidR="00804CB1" w:rsidRDefault="00804CB1">
      <w:pPr>
        <w:rPr>
          <w:rFonts w:ascii="Times New Roman" w:eastAsia="Times New Roman" w:hAnsi="Times New Roman" w:cs="Times New Roman"/>
          <w:sz w:val="24"/>
          <w:szCs w:val="24"/>
          <w:highlight w:val="white"/>
        </w:rPr>
      </w:pPr>
    </w:p>
    <w:p w:rsidR="00804CB1" w:rsidRDefault="00705844">
      <w:pP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III. </w:t>
      </w:r>
      <w:r>
        <w:rPr>
          <w:rFonts w:ascii="Times New Roman" w:eastAsia="Times New Roman" w:hAnsi="Times New Roman" w:cs="Times New Roman"/>
          <w:b/>
          <w:sz w:val="24"/>
          <w:szCs w:val="24"/>
          <w:highlight w:val="white"/>
        </w:rPr>
        <w:tab/>
        <w:t>Sample Results and Discussion</w:t>
      </w:r>
    </w:p>
    <w:p w:rsidR="00705844" w:rsidRDefault="00705844">
      <w:pPr>
        <w:spacing w:before="240" w:after="240"/>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 xml:space="preserve">Figure 6. </w:t>
      </w:r>
      <w:r>
        <w:rPr>
          <w:rFonts w:ascii="Times New Roman" w:eastAsia="Times New Roman" w:hAnsi="Times New Roman" w:cs="Times New Roman"/>
          <w:sz w:val="24"/>
          <w:szCs w:val="24"/>
        </w:rPr>
        <w:t>Sample results from collagenase a</w:t>
      </w:r>
      <w:r>
        <w:rPr>
          <w:noProof/>
        </w:rPr>
        <w:drawing>
          <wp:anchor distT="0" distB="0" distL="114300" distR="114300" simplePos="0" relativeHeight="251660288" behindDoc="0" locked="0" layoutInCell="1" allowOverlap="1" wp14:anchorId="541CB43A">
            <wp:simplePos x="0" y="0"/>
            <wp:positionH relativeFrom="column">
              <wp:posOffset>0</wp:posOffset>
            </wp:positionH>
            <wp:positionV relativeFrom="paragraph">
              <wp:posOffset>47625</wp:posOffset>
            </wp:positionV>
            <wp:extent cx="3286125" cy="3552825"/>
            <wp:effectExtent l="0" t="0" r="9525"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286125" cy="355282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sz w:val="24"/>
          <w:szCs w:val="24"/>
        </w:rPr>
        <w:t xml:space="preserve">ctivity assay. </w:t>
      </w:r>
    </w:p>
    <w:p w:rsidR="003C7468" w:rsidRDefault="00705844">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43932">
        <w:rPr>
          <w:rFonts w:ascii="Times New Roman" w:eastAsia="Times New Roman" w:hAnsi="Times New Roman" w:cs="Times New Roman"/>
          <w:sz w:val="24"/>
          <w:szCs w:val="24"/>
        </w:rPr>
        <w:t>In a 2004 article by Reza &amp; Ashraf</w:t>
      </w:r>
      <w:r w:rsidRPr="00705844">
        <w:rPr>
          <w:rFonts w:ascii="Times New Roman" w:eastAsia="Times New Roman" w:hAnsi="Times New Roman" w:cs="Times New Roman"/>
          <w:sz w:val="24"/>
          <w:szCs w:val="24"/>
          <w:vertAlign w:val="superscript"/>
        </w:rPr>
        <w:t>7</w:t>
      </w:r>
      <w:r w:rsidR="00D43932">
        <w:rPr>
          <w:rFonts w:ascii="Times New Roman" w:eastAsia="Times New Roman" w:hAnsi="Times New Roman" w:cs="Times New Roman"/>
          <w:sz w:val="24"/>
          <w:szCs w:val="24"/>
        </w:rPr>
        <w:t xml:space="preserve">, researchers determined that collagenase enzymes produced by </w:t>
      </w:r>
      <w:r w:rsidR="00D43932" w:rsidRPr="00FD4456">
        <w:rPr>
          <w:rFonts w:ascii="Times New Roman" w:eastAsia="Times New Roman" w:hAnsi="Times New Roman" w:cs="Times New Roman"/>
          <w:i/>
          <w:iCs/>
          <w:sz w:val="24"/>
          <w:szCs w:val="24"/>
        </w:rPr>
        <w:t>Prevotella bivia</w:t>
      </w:r>
      <w:r w:rsidR="00D43932">
        <w:rPr>
          <w:rFonts w:ascii="Times New Roman" w:eastAsia="Times New Roman" w:hAnsi="Times New Roman" w:cs="Times New Roman"/>
          <w:sz w:val="24"/>
          <w:szCs w:val="24"/>
        </w:rPr>
        <w:t>, a relatively rare vaginal microbe, played a role in the induction of premature rupture of membranes (PROM) in female patients who experienced preterm birth. Considering that collagen is</w:t>
      </w:r>
      <w:r w:rsidR="00D43932" w:rsidRPr="00FD4456">
        <w:rPr>
          <w:rFonts w:ascii="Times New Roman" w:eastAsia="Times New Roman" w:hAnsi="Times New Roman" w:cs="Times New Roman"/>
          <w:sz w:val="24"/>
          <w:szCs w:val="24"/>
        </w:rPr>
        <w:t xml:space="preserve"> a major component of the amniotic membrane</w:t>
      </w:r>
      <w:r w:rsidR="00D43932">
        <w:rPr>
          <w:rFonts w:ascii="Times New Roman" w:eastAsia="Times New Roman" w:hAnsi="Times New Roman" w:cs="Times New Roman"/>
          <w:sz w:val="24"/>
          <w:szCs w:val="24"/>
        </w:rPr>
        <w:t xml:space="preserve"> and human cervical cells induce labor by secreting collagen</w:t>
      </w:r>
      <w:bookmarkStart w:id="0" w:name="_GoBack"/>
      <w:bookmarkEnd w:id="0"/>
      <w:r w:rsidR="00D43932">
        <w:rPr>
          <w:rFonts w:ascii="Times New Roman" w:eastAsia="Times New Roman" w:hAnsi="Times New Roman" w:cs="Times New Roman"/>
          <w:sz w:val="24"/>
          <w:szCs w:val="24"/>
        </w:rPr>
        <w:t xml:space="preserve">ases (referred to as matrix-metalloproteinases), </w:t>
      </w:r>
      <w:r w:rsidR="00EC788E">
        <w:rPr>
          <w:rFonts w:ascii="Times New Roman" w:eastAsia="Times New Roman" w:hAnsi="Times New Roman" w:cs="Times New Roman"/>
          <w:sz w:val="24"/>
          <w:szCs w:val="24"/>
        </w:rPr>
        <w:t>the current belief is</w:t>
      </w:r>
      <w:r w:rsidR="00D43932">
        <w:rPr>
          <w:rFonts w:ascii="Times New Roman" w:eastAsia="Times New Roman" w:hAnsi="Times New Roman" w:cs="Times New Roman"/>
          <w:sz w:val="24"/>
          <w:szCs w:val="24"/>
        </w:rPr>
        <w:t xml:space="preserve"> that collagenase activity in vaginal microbiota play</w:t>
      </w:r>
      <w:r w:rsidR="00EC788E">
        <w:rPr>
          <w:rFonts w:ascii="Times New Roman" w:eastAsia="Times New Roman" w:hAnsi="Times New Roman" w:cs="Times New Roman"/>
          <w:sz w:val="24"/>
          <w:szCs w:val="24"/>
        </w:rPr>
        <w:t>s</w:t>
      </w:r>
      <w:r w:rsidR="00D43932">
        <w:rPr>
          <w:rFonts w:ascii="Times New Roman" w:eastAsia="Times New Roman" w:hAnsi="Times New Roman" w:cs="Times New Roman"/>
          <w:sz w:val="24"/>
          <w:szCs w:val="24"/>
        </w:rPr>
        <w:t xml:space="preserve"> a role in the induction of early labor</w:t>
      </w:r>
      <w:r w:rsidR="00EC788E">
        <w:rPr>
          <w:rFonts w:ascii="Times New Roman" w:eastAsia="Times New Roman" w:hAnsi="Times New Roman" w:cs="Times New Roman"/>
          <w:sz w:val="24"/>
          <w:szCs w:val="24"/>
        </w:rPr>
        <w:t xml:space="preserve"> in women</w:t>
      </w:r>
      <w:r w:rsidR="00D43932">
        <w:rPr>
          <w:rFonts w:ascii="Times New Roman" w:eastAsia="Times New Roman" w:hAnsi="Times New Roman" w:cs="Times New Roman"/>
          <w:sz w:val="24"/>
          <w:szCs w:val="24"/>
        </w:rPr>
        <w:t xml:space="preserve">. </w:t>
      </w:r>
      <w:r w:rsidR="00EC788E">
        <w:rPr>
          <w:rFonts w:ascii="Times New Roman" w:eastAsia="Times New Roman" w:hAnsi="Times New Roman" w:cs="Times New Roman"/>
          <w:sz w:val="24"/>
          <w:szCs w:val="24"/>
        </w:rPr>
        <w:t xml:space="preserve">If collagenase activity is detected, the results of this experiment may ease some of the enigma surrounding the </w:t>
      </w:r>
      <w:r w:rsidR="00EC788E">
        <w:rPr>
          <w:rFonts w:ascii="Times New Roman" w:eastAsia="Times New Roman" w:hAnsi="Times New Roman" w:cs="Times New Roman"/>
          <w:i/>
          <w:sz w:val="24"/>
          <w:szCs w:val="24"/>
        </w:rPr>
        <w:t xml:space="preserve">Ca. </w:t>
      </w:r>
      <w:r w:rsidR="00EC788E">
        <w:rPr>
          <w:rFonts w:ascii="Times New Roman" w:eastAsia="Times New Roman" w:hAnsi="Times New Roman" w:cs="Times New Roman"/>
          <w:sz w:val="24"/>
          <w:szCs w:val="24"/>
        </w:rPr>
        <w:t xml:space="preserve">Mycoplasma </w:t>
      </w:r>
      <w:proofErr w:type="spellStart"/>
      <w:r w:rsidR="00EC788E">
        <w:rPr>
          <w:rFonts w:ascii="Times New Roman" w:eastAsia="Times New Roman" w:hAnsi="Times New Roman" w:cs="Times New Roman"/>
          <w:sz w:val="24"/>
          <w:szCs w:val="24"/>
        </w:rPr>
        <w:t>gerirdii</w:t>
      </w:r>
      <w:r w:rsidR="00EC788E">
        <w:rPr>
          <w:rFonts w:ascii="Times New Roman" w:eastAsia="Times New Roman" w:hAnsi="Times New Roman" w:cs="Times New Roman"/>
          <w:sz w:val="24"/>
          <w:szCs w:val="24"/>
        </w:rPr>
        <w:t>’s</w:t>
      </w:r>
      <w:proofErr w:type="spellEnd"/>
      <w:r w:rsidR="00EC788E">
        <w:rPr>
          <w:rFonts w:ascii="Times New Roman" w:eastAsia="Times New Roman" w:hAnsi="Times New Roman" w:cs="Times New Roman"/>
          <w:sz w:val="24"/>
          <w:szCs w:val="24"/>
        </w:rPr>
        <w:t xml:space="preserve"> virulence as well as open some doors to larger-scale studies.</w:t>
      </w:r>
      <w:r w:rsidR="00EC788E">
        <w:rPr>
          <w:rFonts w:ascii="Times New Roman" w:eastAsia="Times New Roman" w:hAnsi="Times New Roman" w:cs="Times New Roman"/>
          <w:sz w:val="24"/>
          <w:szCs w:val="24"/>
        </w:rPr>
        <w:t xml:space="preserve"> If </w:t>
      </w:r>
      <w:r w:rsidR="003C7468">
        <w:rPr>
          <w:rFonts w:ascii="Times New Roman" w:eastAsia="Times New Roman" w:hAnsi="Times New Roman" w:cs="Times New Roman"/>
          <w:sz w:val="24"/>
          <w:szCs w:val="24"/>
        </w:rPr>
        <w:t>not, further steps or revisions to the experiment may need to be taken to ascertain the function of the genes</w:t>
      </w:r>
      <w:r w:rsidR="00EC788E">
        <w:rPr>
          <w:rFonts w:ascii="Times New Roman" w:eastAsia="Times New Roman" w:hAnsi="Times New Roman" w:cs="Times New Roman"/>
          <w:sz w:val="24"/>
          <w:szCs w:val="24"/>
        </w:rPr>
        <w:t xml:space="preserve"> or identify new genes of interest</w:t>
      </w:r>
      <w:r w:rsidR="003C7468">
        <w:rPr>
          <w:rFonts w:ascii="Times New Roman" w:eastAsia="Times New Roman" w:hAnsi="Times New Roman" w:cs="Times New Roman"/>
          <w:sz w:val="24"/>
          <w:szCs w:val="24"/>
        </w:rPr>
        <w:t xml:space="preserve">. </w:t>
      </w:r>
    </w:p>
    <w:p w:rsidR="00705844" w:rsidRDefault="0070584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804CB1" w:rsidRDefault="00705844">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Bibliography</w:t>
      </w:r>
    </w:p>
    <w:p w:rsidR="00804CB1" w:rsidRDefault="00705844">
      <w:pPr>
        <w:numPr>
          <w:ilvl w:val="0"/>
          <w:numId w:val="11"/>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The NIH HMP Working Group (2009). Genome Res. 19(12): 2317–2323. </w:t>
      </w:r>
      <w:proofErr w:type="spellStart"/>
      <w:r>
        <w:rPr>
          <w:rFonts w:ascii="Times New Roman" w:eastAsia="Times New Roman" w:hAnsi="Times New Roman" w:cs="Times New Roman"/>
          <w:sz w:val="24"/>
          <w:szCs w:val="24"/>
          <w:highlight w:val="white"/>
        </w:rPr>
        <w:t>doi</w:t>
      </w:r>
      <w:proofErr w:type="spellEnd"/>
      <w:r>
        <w:rPr>
          <w:rFonts w:ascii="Times New Roman" w:eastAsia="Times New Roman" w:hAnsi="Times New Roman" w:cs="Times New Roman"/>
          <w:sz w:val="24"/>
          <w:szCs w:val="24"/>
          <w:highlight w:val="white"/>
        </w:rPr>
        <w:t>: 10.1101/gr.096651.109</w:t>
      </w:r>
    </w:p>
    <w:p w:rsidR="00804CB1" w:rsidRDefault="00705844">
      <w:pPr>
        <w:numPr>
          <w:ilvl w:val="0"/>
          <w:numId w:val="11"/>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Integrative HMP (iHMP) Research Network Consortium (2014), Cell Host Microbe. 16(3):276-89. </w:t>
      </w:r>
      <w:proofErr w:type="spellStart"/>
      <w:r>
        <w:rPr>
          <w:rFonts w:ascii="Times New Roman" w:eastAsia="Times New Roman" w:hAnsi="Times New Roman" w:cs="Times New Roman"/>
          <w:sz w:val="24"/>
          <w:szCs w:val="24"/>
          <w:highlight w:val="white"/>
        </w:rPr>
        <w:t>doi</w:t>
      </w:r>
      <w:proofErr w:type="spellEnd"/>
      <w:r>
        <w:rPr>
          <w:rFonts w:ascii="Times New Roman" w:eastAsia="Times New Roman" w:hAnsi="Times New Roman" w:cs="Times New Roman"/>
          <w:sz w:val="24"/>
          <w:szCs w:val="24"/>
          <w:highlight w:val="white"/>
        </w:rPr>
        <w:t>: 10.1016/j.chom.2014.08.014.</w:t>
      </w:r>
    </w:p>
    <w:p w:rsidR="00804CB1" w:rsidRDefault="00705844">
      <w:pPr>
        <w:numPr>
          <w:ilvl w:val="0"/>
          <w:numId w:val="11"/>
        </w:numPr>
        <w:rPr>
          <w:rFonts w:ascii="Times New Roman" w:eastAsia="Times New Roman" w:hAnsi="Times New Roman" w:cs="Times New Roman"/>
          <w:sz w:val="24"/>
          <w:szCs w:val="24"/>
          <w:highlight w:val="white"/>
        </w:rPr>
      </w:pPr>
      <w:proofErr w:type="spellStart"/>
      <w:r w:rsidRPr="00DD6B94">
        <w:rPr>
          <w:rFonts w:ascii="Times New Roman" w:eastAsia="Times New Roman" w:hAnsi="Times New Roman" w:cs="Times New Roman"/>
          <w:sz w:val="24"/>
          <w:szCs w:val="24"/>
          <w:highlight w:val="white"/>
          <w:lang w:val="fr-FR"/>
        </w:rPr>
        <w:t>Fettweis</w:t>
      </w:r>
      <w:proofErr w:type="spellEnd"/>
      <w:r w:rsidRPr="00DD6B94">
        <w:rPr>
          <w:rFonts w:ascii="Times New Roman" w:eastAsia="Times New Roman" w:hAnsi="Times New Roman" w:cs="Times New Roman"/>
          <w:sz w:val="24"/>
          <w:szCs w:val="24"/>
          <w:highlight w:val="white"/>
          <w:lang w:val="fr-FR"/>
        </w:rPr>
        <w:t xml:space="preserve"> et. </w:t>
      </w:r>
      <w:proofErr w:type="gramStart"/>
      <w:r w:rsidRPr="00DD6B94">
        <w:rPr>
          <w:rFonts w:ascii="Times New Roman" w:eastAsia="Times New Roman" w:hAnsi="Times New Roman" w:cs="Times New Roman"/>
          <w:sz w:val="24"/>
          <w:szCs w:val="24"/>
          <w:highlight w:val="white"/>
          <w:lang w:val="fr-FR"/>
        </w:rPr>
        <w:t>al</w:t>
      </w:r>
      <w:proofErr w:type="gramEnd"/>
      <w:r w:rsidRPr="00DD6B94">
        <w:rPr>
          <w:rFonts w:ascii="Times New Roman" w:eastAsia="Times New Roman" w:hAnsi="Times New Roman" w:cs="Times New Roman"/>
          <w:sz w:val="24"/>
          <w:szCs w:val="24"/>
          <w:highlight w:val="white"/>
          <w:lang w:val="fr-FR"/>
        </w:rPr>
        <w:t xml:space="preserve"> (2014). </w:t>
      </w:r>
      <w:proofErr w:type="spellStart"/>
      <w:r w:rsidRPr="00DD6B94">
        <w:rPr>
          <w:rFonts w:ascii="Times New Roman" w:eastAsia="Times New Roman" w:hAnsi="Times New Roman" w:cs="Times New Roman"/>
          <w:sz w:val="24"/>
          <w:szCs w:val="24"/>
          <w:highlight w:val="white"/>
          <w:lang w:val="fr-FR"/>
        </w:rPr>
        <w:t>PLoS</w:t>
      </w:r>
      <w:proofErr w:type="spellEnd"/>
      <w:r w:rsidRPr="00DD6B94">
        <w:rPr>
          <w:rFonts w:ascii="Times New Roman" w:eastAsia="Times New Roman" w:hAnsi="Times New Roman" w:cs="Times New Roman"/>
          <w:sz w:val="24"/>
          <w:szCs w:val="24"/>
          <w:highlight w:val="white"/>
          <w:lang w:val="fr-FR"/>
        </w:rPr>
        <w:t xml:space="preserve"> One. 9(10</w:t>
      </w:r>
      <w:proofErr w:type="gramStart"/>
      <w:r w:rsidRPr="00DD6B94">
        <w:rPr>
          <w:rFonts w:ascii="Times New Roman" w:eastAsia="Times New Roman" w:hAnsi="Times New Roman" w:cs="Times New Roman"/>
          <w:sz w:val="24"/>
          <w:szCs w:val="24"/>
          <w:highlight w:val="white"/>
          <w:lang w:val="fr-FR"/>
        </w:rPr>
        <w:t>)</w:t>
      </w:r>
      <w:r w:rsidRPr="00DD6B94">
        <w:rPr>
          <w:rFonts w:ascii="Times New Roman" w:eastAsia="Times New Roman" w:hAnsi="Times New Roman" w:cs="Times New Roman"/>
          <w:sz w:val="24"/>
          <w:szCs w:val="24"/>
          <w:highlight w:val="white"/>
          <w:lang w:val="fr-FR"/>
        </w:rPr>
        <w:t>:</w:t>
      </w:r>
      <w:proofErr w:type="gramEnd"/>
      <w:r w:rsidRPr="00DD6B94">
        <w:rPr>
          <w:rFonts w:ascii="Times New Roman" w:eastAsia="Times New Roman" w:hAnsi="Times New Roman" w:cs="Times New Roman"/>
          <w:sz w:val="24"/>
          <w:szCs w:val="24"/>
          <w:highlight w:val="white"/>
          <w:lang w:val="fr-FR"/>
        </w:rPr>
        <w:t xml:space="preserve"> e110943. </w:t>
      </w:r>
      <w:r>
        <w:rPr>
          <w:rFonts w:ascii="Times New Roman" w:eastAsia="Times New Roman" w:hAnsi="Times New Roman" w:cs="Times New Roman"/>
          <w:sz w:val="24"/>
          <w:szCs w:val="24"/>
          <w:highlight w:val="white"/>
        </w:rPr>
        <w:t xml:space="preserve">Published online 2014 Oct 22. </w:t>
      </w:r>
      <w:proofErr w:type="spellStart"/>
      <w:r>
        <w:rPr>
          <w:rFonts w:ascii="Times New Roman" w:eastAsia="Times New Roman" w:hAnsi="Times New Roman" w:cs="Times New Roman"/>
          <w:sz w:val="24"/>
          <w:szCs w:val="24"/>
          <w:highlight w:val="white"/>
        </w:rPr>
        <w:t>doi</w:t>
      </w:r>
      <w:proofErr w:type="spellEnd"/>
      <w:r>
        <w:rPr>
          <w:rFonts w:ascii="Times New Roman" w:eastAsia="Times New Roman" w:hAnsi="Times New Roman" w:cs="Times New Roman"/>
          <w:sz w:val="24"/>
          <w:szCs w:val="24"/>
          <w:highlight w:val="white"/>
        </w:rPr>
        <w:t>: 0.1371/journal.pone.0110943</w:t>
      </w:r>
    </w:p>
    <w:p w:rsidR="00804CB1" w:rsidRDefault="00705844">
      <w:pPr>
        <w:numPr>
          <w:ilvl w:val="0"/>
          <w:numId w:val="11"/>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Hampson, V., Liu, D., </w:t>
      </w:r>
      <w:proofErr w:type="spellStart"/>
      <w:r>
        <w:rPr>
          <w:rFonts w:ascii="Times New Roman" w:eastAsia="Times New Roman" w:hAnsi="Times New Roman" w:cs="Times New Roman"/>
          <w:sz w:val="24"/>
          <w:szCs w:val="24"/>
          <w:highlight w:val="white"/>
        </w:rPr>
        <w:t>Billett</w:t>
      </w:r>
      <w:proofErr w:type="spellEnd"/>
      <w:r>
        <w:rPr>
          <w:rFonts w:ascii="Times New Roman" w:eastAsia="Times New Roman" w:hAnsi="Times New Roman" w:cs="Times New Roman"/>
          <w:sz w:val="24"/>
          <w:szCs w:val="24"/>
          <w:highlight w:val="white"/>
        </w:rPr>
        <w:t>, E., &amp; Kirk, S. (1997</w:t>
      </w:r>
      <w:proofErr w:type="gramStart"/>
      <w:r>
        <w:rPr>
          <w:rFonts w:ascii="Times New Roman" w:eastAsia="Times New Roman" w:hAnsi="Times New Roman" w:cs="Times New Roman"/>
          <w:sz w:val="24"/>
          <w:szCs w:val="24"/>
          <w:highlight w:val="white"/>
        </w:rPr>
        <w:t>)..</w:t>
      </w:r>
      <w:proofErr w:type="gramEnd"/>
      <w:r>
        <w:rPr>
          <w:rFonts w:ascii="Times New Roman" w:eastAsia="Times New Roman" w:hAnsi="Times New Roman" w:cs="Times New Roman"/>
          <w:sz w:val="24"/>
          <w:szCs w:val="24"/>
          <w:highlight w:val="white"/>
        </w:rPr>
        <w:t xml:space="preserve"> BJOG: An International Journal of Obstetrics and </w:t>
      </w:r>
      <w:proofErr w:type="spellStart"/>
      <w:r>
        <w:rPr>
          <w:rFonts w:ascii="Times New Roman" w:eastAsia="Times New Roman" w:hAnsi="Times New Roman" w:cs="Times New Roman"/>
          <w:sz w:val="24"/>
          <w:szCs w:val="24"/>
          <w:highlight w:val="white"/>
        </w:rPr>
        <w:t>Gynaecology</w:t>
      </w:r>
      <w:proofErr w:type="spellEnd"/>
      <w:r>
        <w:rPr>
          <w:rFonts w:ascii="Times New Roman" w:eastAsia="Times New Roman" w:hAnsi="Times New Roman" w:cs="Times New Roman"/>
          <w:sz w:val="24"/>
          <w:szCs w:val="24"/>
          <w:highlight w:val="white"/>
        </w:rPr>
        <w:t>, 104(9), 1087-1091. doi:10.1111/j.1471-</w:t>
      </w:r>
      <w:proofErr w:type="gramStart"/>
      <w:r>
        <w:rPr>
          <w:rFonts w:ascii="Times New Roman" w:eastAsia="Times New Roman" w:hAnsi="Times New Roman" w:cs="Times New Roman"/>
          <w:sz w:val="24"/>
          <w:szCs w:val="24"/>
          <w:highlight w:val="white"/>
        </w:rPr>
        <w:t>0528.1997.tb</w:t>
      </w:r>
      <w:proofErr w:type="gramEnd"/>
      <w:r>
        <w:rPr>
          <w:rFonts w:ascii="Times New Roman" w:eastAsia="Times New Roman" w:hAnsi="Times New Roman" w:cs="Times New Roman"/>
          <w:sz w:val="24"/>
          <w:szCs w:val="24"/>
          <w:highlight w:val="white"/>
        </w:rPr>
        <w:t>12073.x</w:t>
      </w:r>
    </w:p>
    <w:p w:rsidR="00804CB1" w:rsidRDefault="00705844">
      <w:pPr>
        <w:numPr>
          <w:ilvl w:val="0"/>
          <w:numId w:val="11"/>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Rajabi</w:t>
      </w:r>
      <w:proofErr w:type="spellEnd"/>
      <w:r>
        <w:rPr>
          <w:rFonts w:ascii="Times New Roman" w:eastAsia="Times New Roman" w:hAnsi="Times New Roman" w:cs="Times New Roman"/>
          <w:sz w:val="24"/>
          <w:szCs w:val="24"/>
          <w:highlight w:val="white"/>
        </w:rPr>
        <w:t xml:space="preserve">, M. R., Dean, D. D., </w:t>
      </w:r>
      <w:proofErr w:type="spellStart"/>
      <w:r>
        <w:rPr>
          <w:rFonts w:ascii="Times New Roman" w:eastAsia="Times New Roman" w:hAnsi="Times New Roman" w:cs="Times New Roman"/>
          <w:sz w:val="24"/>
          <w:szCs w:val="24"/>
          <w:highlight w:val="white"/>
        </w:rPr>
        <w:t>Beydoun</w:t>
      </w:r>
      <w:proofErr w:type="spellEnd"/>
      <w:r>
        <w:rPr>
          <w:rFonts w:ascii="Times New Roman" w:eastAsia="Times New Roman" w:hAnsi="Times New Roman" w:cs="Times New Roman"/>
          <w:sz w:val="24"/>
          <w:szCs w:val="24"/>
          <w:highlight w:val="white"/>
        </w:rPr>
        <w:t xml:space="preserve">, S. N., &amp; </w:t>
      </w:r>
      <w:proofErr w:type="spellStart"/>
      <w:r>
        <w:rPr>
          <w:rFonts w:ascii="Times New Roman" w:eastAsia="Times New Roman" w:hAnsi="Times New Roman" w:cs="Times New Roman"/>
          <w:sz w:val="24"/>
          <w:szCs w:val="24"/>
          <w:highlight w:val="white"/>
        </w:rPr>
        <w:t>Woessner</w:t>
      </w:r>
      <w:proofErr w:type="spellEnd"/>
      <w:r>
        <w:rPr>
          <w:rFonts w:ascii="Times New Roman" w:eastAsia="Times New Roman" w:hAnsi="Times New Roman" w:cs="Times New Roman"/>
          <w:sz w:val="24"/>
          <w:szCs w:val="24"/>
          <w:highlight w:val="white"/>
        </w:rPr>
        <w:t>, J. F. (1988). American Journal of Obstetrics and Gynecology, 159(4), 971-976. doi:10.1016/s0002-9378(88)80183-2.</w:t>
      </w:r>
    </w:p>
    <w:p w:rsidR="00804CB1" w:rsidRDefault="00705844">
      <w:pPr>
        <w:numPr>
          <w:ilvl w:val="0"/>
          <w:numId w:val="11"/>
        </w:numPr>
        <w:rPr>
          <w:rFonts w:ascii="Times New Roman" w:eastAsia="Times New Roman" w:hAnsi="Times New Roman" w:cs="Times New Roman"/>
          <w:sz w:val="24"/>
          <w:szCs w:val="24"/>
          <w:highlight w:val="white"/>
        </w:rPr>
      </w:pPr>
      <w:r w:rsidRPr="00DD6B94">
        <w:rPr>
          <w:rFonts w:ascii="Times New Roman" w:eastAsia="Times New Roman" w:hAnsi="Times New Roman" w:cs="Times New Roman"/>
          <w:sz w:val="24"/>
          <w:szCs w:val="24"/>
          <w:highlight w:val="white"/>
          <w:lang w:val="fr-FR"/>
        </w:rPr>
        <w:t xml:space="preserve"> Jones, O. W., &amp; Nirenberg, M. W. (1962). </w:t>
      </w:r>
      <w:r>
        <w:rPr>
          <w:rFonts w:ascii="Times New Roman" w:eastAsia="Times New Roman" w:hAnsi="Times New Roman" w:cs="Times New Roman"/>
          <w:sz w:val="24"/>
          <w:szCs w:val="24"/>
          <w:highlight w:val="white"/>
        </w:rPr>
        <w:t>Proceedings of the National Academy of Sciences, 48</w:t>
      </w:r>
      <w:r>
        <w:rPr>
          <w:rFonts w:ascii="Times New Roman" w:eastAsia="Times New Roman" w:hAnsi="Times New Roman" w:cs="Times New Roman"/>
          <w:sz w:val="24"/>
          <w:szCs w:val="24"/>
          <w:highlight w:val="white"/>
        </w:rPr>
        <w:t>(12), 2115-2123. doi:10.1073/pnas.48.12.2115.</w:t>
      </w:r>
    </w:p>
    <w:p w:rsidR="00804CB1" w:rsidRDefault="00705844">
      <w:pPr>
        <w:numPr>
          <w:ilvl w:val="0"/>
          <w:numId w:val="11"/>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Zhou, Z., et al. 2016. Proceedings of the National Academy of Sciences of the United States of America. Published online before print September 26, 2016, </w:t>
      </w:r>
      <w:proofErr w:type="spellStart"/>
      <w:r>
        <w:rPr>
          <w:rFonts w:ascii="Times New Roman" w:eastAsia="Times New Roman" w:hAnsi="Times New Roman" w:cs="Times New Roman"/>
          <w:sz w:val="24"/>
          <w:szCs w:val="24"/>
          <w:highlight w:val="white"/>
        </w:rPr>
        <w:t>doi</w:t>
      </w:r>
      <w:proofErr w:type="spellEnd"/>
      <w:r>
        <w:rPr>
          <w:rFonts w:ascii="Times New Roman" w:eastAsia="Times New Roman" w:hAnsi="Times New Roman" w:cs="Times New Roman"/>
          <w:sz w:val="24"/>
          <w:szCs w:val="24"/>
          <w:highlight w:val="white"/>
        </w:rPr>
        <w:t>: 10.1073/pnas.1606724113</w:t>
      </w:r>
    </w:p>
    <w:p w:rsidR="000408F6" w:rsidRDefault="00694D40">
      <w:pPr>
        <w:numPr>
          <w:ilvl w:val="0"/>
          <w:numId w:val="11"/>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Reza</w:t>
      </w:r>
      <w:r>
        <w:rPr>
          <w:rFonts w:ascii="Times New Roman" w:eastAsia="Times New Roman" w:hAnsi="Times New Roman" w:cs="Times New Roman"/>
          <w:sz w:val="24"/>
          <w:szCs w:val="24"/>
        </w:rPr>
        <w:t xml:space="preserve"> HD</w:t>
      </w:r>
      <w:r>
        <w:rPr>
          <w:rFonts w:ascii="Times New Roman" w:eastAsia="Times New Roman" w:hAnsi="Times New Roman" w:cs="Times New Roman"/>
          <w:sz w:val="24"/>
          <w:szCs w:val="24"/>
        </w:rPr>
        <w:t xml:space="preserve"> &amp; Ashraf</w:t>
      </w:r>
      <w:r>
        <w:rPr>
          <w:rFonts w:ascii="Times New Roman" w:eastAsia="Times New Roman" w:hAnsi="Times New Roman" w:cs="Times New Roman"/>
          <w:sz w:val="24"/>
          <w:szCs w:val="24"/>
        </w:rPr>
        <w:t xml:space="preserve"> MM (2004). </w:t>
      </w:r>
      <w:r w:rsidRPr="00694D40">
        <w:rPr>
          <w:rFonts w:ascii="Times New Roman" w:eastAsia="Times New Roman" w:hAnsi="Times New Roman" w:cs="Times New Roman"/>
          <w:sz w:val="24"/>
          <w:szCs w:val="24"/>
        </w:rPr>
        <w:t>Medical Journal of the Islamic Republic of Iran</w:t>
      </w:r>
      <w:r>
        <w:rPr>
          <w:rFonts w:ascii="Times New Roman" w:eastAsia="Times New Roman" w:hAnsi="Times New Roman" w:cs="Times New Roman"/>
          <w:sz w:val="24"/>
          <w:szCs w:val="24"/>
        </w:rPr>
        <w:t xml:space="preserve">. 18(1):61-66. </w:t>
      </w:r>
    </w:p>
    <w:p w:rsidR="00804CB1" w:rsidRDefault="00804CB1">
      <w:pPr>
        <w:rPr>
          <w:rFonts w:ascii="Times New Roman" w:eastAsia="Times New Roman" w:hAnsi="Times New Roman" w:cs="Times New Roman"/>
          <w:sz w:val="21"/>
          <w:szCs w:val="21"/>
          <w:highlight w:val="white"/>
        </w:rPr>
      </w:pPr>
    </w:p>
    <w:p w:rsidR="00804CB1" w:rsidRDefault="00804CB1">
      <w:pPr>
        <w:rPr>
          <w:rFonts w:ascii="Times New Roman" w:eastAsia="Times New Roman" w:hAnsi="Times New Roman" w:cs="Times New Roman"/>
          <w:sz w:val="21"/>
          <w:szCs w:val="21"/>
          <w:highlight w:val="white"/>
        </w:rPr>
      </w:pPr>
    </w:p>
    <w:p w:rsidR="00804CB1" w:rsidRDefault="00804CB1">
      <w:pPr>
        <w:rPr>
          <w:rFonts w:ascii="Times New Roman" w:eastAsia="Times New Roman" w:hAnsi="Times New Roman" w:cs="Times New Roman"/>
          <w:sz w:val="21"/>
          <w:szCs w:val="21"/>
          <w:highlight w:val="white"/>
        </w:rPr>
      </w:pPr>
    </w:p>
    <w:p w:rsidR="00804CB1" w:rsidRDefault="00804CB1">
      <w:pPr>
        <w:rPr>
          <w:rFonts w:ascii="Times New Roman" w:eastAsia="Times New Roman" w:hAnsi="Times New Roman" w:cs="Times New Roman"/>
          <w:sz w:val="21"/>
          <w:szCs w:val="21"/>
          <w:highlight w:val="white"/>
        </w:rPr>
      </w:pPr>
    </w:p>
    <w:p w:rsidR="00804CB1" w:rsidRDefault="00804CB1">
      <w:pPr>
        <w:rPr>
          <w:rFonts w:ascii="Times New Roman" w:eastAsia="Times New Roman" w:hAnsi="Times New Roman" w:cs="Times New Roman"/>
          <w:sz w:val="21"/>
          <w:szCs w:val="21"/>
          <w:highlight w:val="white"/>
        </w:rPr>
      </w:pPr>
    </w:p>
    <w:p w:rsidR="00804CB1" w:rsidRDefault="00804CB1">
      <w:pPr>
        <w:rPr>
          <w:rFonts w:ascii="Times New Roman" w:eastAsia="Times New Roman" w:hAnsi="Times New Roman" w:cs="Times New Roman"/>
          <w:b/>
          <w:sz w:val="24"/>
          <w:szCs w:val="24"/>
        </w:rPr>
      </w:pPr>
    </w:p>
    <w:p w:rsidR="00804CB1" w:rsidRDefault="00804CB1">
      <w:pPr>
        <w:spacing w:before="240" w:after="240"/>
        <w:rPr>
          <w:rFonts w:ascii="Times New Roman" w:eastAsia="Times New Roman" w:hAnsi="Times New Roman" w:cs="Times New Roman"/>
          <w:sz w:val="24"/>
          <w:szCs w:val="24"/>
        </w:rPr>
      </w:pPr>
    </w:p>
    <w:p w:rsidR="00804CB1" w:rsidRDefault="00804CB1">
      <w:pPr>
        <w:rPr>
          <w:rFonts w:ascii="Times New Roman" w:eastAsia="Times New Roman" w:hAnsi="Times New Roman" w:cs="Times New Roman"/>
          <w:sz w:val="24"/>
          <w:szCs w:val="24"/>
        </w:rPr>
      </w:pPr>
    </w:p>
    <w:sectPr w:rsidR="00804CB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rdo">
    <w:charset w:val="00"/>
    <w:family w:val="auto"/>
    <w:pitch w:val="default"/>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32156"/>
    <w:multiLevelType w:val="multilevel"/>
    <w:tmpl w:val="4F4474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EF33E4"/>
    <w:multiLevelType w:val="multilevel"/>
    <w:tmpl w:val="D12650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0885CE4"/>
    <w:multiLevelType w:val="multilevel"/>
    <w:tmpl w:val="D96CA0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0897F73"/>
    <w:multiLevelType w:val="multilevel"/>
    <w:tmpl w:val="65F872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6401E88"/>
    <w:multiLevelType w:val="multilevel"/>
    <w:tmpl w:val="F6C68D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A2E2C3D"/>
    <w:multiLevelType w:val="multilevel"/>
    <w:tmpl w:val="D0B8E1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B0A2D92"/>
    <w:multiLevelType w:val="multilevel"/>
    <w:tmpl w:val="D07221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DD1432B"/>
    <w:multiLevelType w:val="multilevel"/>
    <w:tmpl w:val="277639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97423F6"/>
    <w:multiLevelType w:val="multilevel"/>
    <w:tmpl w:val="7D7A1CAA"/>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5FA44ED4"/>
    <w:multiLevelType w:val="multilevel"/>
    <w:tmpl w:val="A148D1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60E90867"/>
    <w:multiLevelType w:val="multilevel"/>
    <w:tmpl w:val="26F284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B4A552F"/>
    <w:multiLevelType w:val="multilevel"/>
    <w:tmpl w:val="449442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75DC44B0"/>
    <w:multiLevelType w:val="multilevel"/>
    <w:tmpl w:val="9D2E6B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9"/>
  </w:num>
  <w:num w:numId="3">
    <w:abstractNumId w:val="8"/>
  </w:num>
  <w:num w:numId="4">
    <w:abstractNumId w:val="0"/>
  </w:num>
  <w:num w:numId="5">
    <w:abstractNumId w:val="4"/>
  </w:num>
  <w:num w:numId="6">
    <w:abstractNumId w:val="6"/>
  </w:num>
  <w:num w:numId="7">
    <w:abstractNumId w:val="3"/>
  </w:num>
  <w:num w:numId="8">
    <w:abstractNumId w:val="11"/>
  </w:num>
  <w:num w:numId="9">
    <w:abstractNumId w:val="1"/>
  </w:num>
  <w:num w:numId="10">
    <w:abstractNumId w:val="10"/>
  </w:num>
  <w:num w:numId="11">
    <w:abstractNumId w:val="2"/>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CB1"/>
    <w:rsid w:val="000408F6"/>
    <w:rsid w:val="002D78ED"/>
    <w:rsid w:val="003C7468"/>
    <w:rsid w:val="005755ED"/>
    <w:rsid w:val="00694D40"/>
    <w:rsid w:val="00705844"/>
    <w:rsid w:val="00804CB1"/>
    <w:rsid w:val="00C75FA0"/>
    <w:rsid w:val="00D43932"/>
    <w:rsid w:val="00DD6B94"/>
    <w:rsid w:val="00EC788E"/>
    <w:rsid w:val="00FD4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9EF26"/>
  <w15:docId w15:val="{6EE4D895-DE1E-4E7B-89DD-EAB165499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D6B9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6B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5965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s://web.genewiz.com/pg-40off-sb" TargetMode="External"/><Relationship Id="rId10" Type="http://schemas.openxmlformats.org/officeDocument/2006/relationships/image" Target="media/image5.gif"/><Relationship Id="rId4" Type="http://schemas.openxmlformats.org/officeDocument/2006/relationships/webSettings" Target="webSettings.xml"/><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1679</Words>
  <Characters>9575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Nana Twumasi</dc:creator>
  <cp:lastModifiedBy>Nana Twumasi</cp:lastModifiedBy>
  <cp:revision>2</cp:revision>
  <dcterms:created xsi:type="dcterms:W3CDTF">2019-12-01T11:27:00Z</dcterms:created>
  <dcterms:modified xsi:type="dcterms:W3CDTF">2019-12-01T11:27:00Z</dcterms:modified>
</cp:coreProperties>
</file>