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84FFE" w14:textId="108E202B" w:rsidR="00AB7CF1" w:rsidRPr="00BA76EA" w:rsidRDefault="005B74F7" w:rsidP="00BA76EA">
      <w:pPr>
        <w:jc w:val="center"/>
        <w:rPr>
          <w:rFonts w:ascii="Times New Roman" w:hAnsi="Times New Roman" w:cs="Times New Roman"/>
          <w:b/>
          <w:bCs/>
          <w:sz w:val="22"/>
          <w:szCs w:val="22"/>
        </w:rPr>
      </w:pPr>
      <w:r w:rsidRPr="00BA76EA">
        <w:rPr>
          <w:rFonts w:ascii="Times New Roman" w:hAnsi="Times New Roman" w:cs="Times New Roman"/>
          <w:b/>
          <w:bCs/>
          <w:sz w:val="22"/>
          <w:szCs w:val="22"/>
        </w:rPr>
        <w:t>The long-term effects of exposure to lipopolysaccharides on the epigenetic modifications to the CXCL</w:t>
      </w:r>
      <w:r w:rsidR="002D33A0" w:rsidRPr="00BA76EA">
        <w:rPr>
          <w:rFonts w:ascii="Times New Roman" w:hAnsi="Times New Roman" w:cs="Times New Roman"/>
          <w:b/>
          <w:bCs/>
          <w:sz w:val="22"/>
          <w:szCs w:val="22"/>
        </w:rPr>
        <w:t>-</w:t>
      </w:r>
      <w:r w:rsidRPr="00BA76EA">
        <w:rPr>
          <w:rFonts w:ascii="Times New Roman" w:hAnsi="Times New Roman" w:cs="Times New Roman"/>
          <w:b/>
          <w:bCs/>
          <w:sz w:val="22"/>
          <w:szCs w:val="22"/>
        </w:rPr>
        <w:t>8 gene from chronic wound samples</w:t>
      </w:r>
    </w:p>
    <w:p w14:paraId="48B4ECEB" w14:textId="5FF1D108" w:rsidR="000176FE" w:rsidRPr="00BA76EA" w:rsidRDefault="000176FE" w:rsidP="00BA76EA">
      <w:pPr>
        <w:rPr>
          <w:rFonts w:ascii="Times New Roman" w:hAnsi="Times New Roman" w:cs="Times New Roman"/>
          <w:b/>
          <w:bCs/>
          <w:sz w:val="22"/>
          <w:szCs w:val="22"/>
        </w:rPr>
      </w:pPr>
    </w:p>
    <w:p w14:paraId="7ABAFB86" w14:textId="4E47142E" w:rsidR="000176FE" w:rsidRPr="00BA76EA" w:rsidRDefault="00A6532D" w:rsidP="00BA76EA">
      <w:pPr>
        <w:rPr>
          <w:rFonts w:ascii="Times New Roman" w:hAnsi="Times New Roman" w:cs="Times New Roman"/>
          <w:b/>
          <w:bCs/>
          <w:sz w:val="22"/>
          <w:szCs w:val="22"/>
        </w:rPr>
      </w:pPr>
      <w:r w:rsidRPr="00BA76EA">
        <w:rPr>
          <w:rFonts w:ascii="Times New Roman" w:hAnsi="Times New Roman" w:cs="Times New Roman"/>
          <w:b/>
          <w:bCs/>
          <w:sz w:val="22"/>
          <w:szCs w:val="22"/>
        </w:rPr>
        <w:t xml:space="preserve">I.  </w:t>
      </w:r>
      <w:r w:rsidR="000176FE" w:rsidRPr="00BA76EA">
        <w:rPr>
          <w:rFonts w:ascii="Times New Roman" w:hAnsi="Times New Roman" w:cs="Times New Roman"/>
          <w:b/>
          <w:bCs/>
          <w:sz w:val="22"/>
          <w:szCs w:val="22"/>
        </w:rPr>
        <w:t>Introduction</w:t>
      </w:r>
    </w:p>
    <w:p w14:paraId="7D31A706" w14:textId="17DE0F4A" w:rsidR="00A6532D" w:rsidRPr="00BA76EA" w:rsidRDefault="00A6532D" w:rsidP="00BA76EA">
      <w:pPr>
        <w:rPr>
          <w:rFonts w:ascii="Times New Roman" w:hAnsi="Times New Roman" w:cs="Times New Roman"/>
          <w:sz w:val="22"/>
          <w:szCs w:val="22"/>
        </w:rPr>
      </w:pPr>
    </w:p>
    <w:p w14:paraId="3CFD56E9" w14:textId="577AAA20" w:rsidR="00A6532D" w:rsidRPr="00BA76EA" w:rsidRDefault="00735EB7"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12A57BF5" wp14:editId="33A40D8C">
                <wp:simplePos x="0" y="0"/>
                <wp:positionH relativeFrom="column">
                  <wp:posOffset>4919474</wp:posOffset>
                </wp:positionH>
                <wp:positionV relativeFrom="paragraph">
                  <wp:posOffset>787659</wp:posOffset>
                </wp:positionV>
                <wp:extent cx="930584" cy="1294725"/>
                <wp:effectExtent l="0" t="0" r="9525" b="13970"/>
                <wp:wrapNone/>
                <wp:docPr id="2" name="Text Box 2"/>
                <wp:cNvGraphicFramePr/>
                <a:graphic xmlns:a="http://schemas.openxmlformats.org/drawingml/2006/main">
                  <a:graphicData uri="http://schemas.microsoft.com/office/word/2010/wordprocessingShape">
                    <wps:wsp>
                      <wps:cNvSpPr txBox="1"/>
                      <wps:spPr>
                        <a:xfrm>
                          <a:off x="0" y="0"/>
                          <a:ext cx="930584" cy="1294725"/>
                        </a:xfrm>
                        <a:prstGeom prst="rect">
                          <a:avLst/>
                        </a:prstGeom>
                        <a:solidFill>
                          <a:schemeClr val="lt1"/>
                        </a:solidFill>
                        <a:ln w="6350">
                          <a:solidFill>
                            <a:prstClr val="black"/>
                          </a:solidFill>
                        </a:ln>
                      </wps:spPr>
                      <wps:txbx>
                        <w:txbxContent>
                          <w:p w14:paraId="6597759E" w14:textId="5BCE969B" w:rsidR="00AB7CF1" w:rsidRPr="00C642D9" w:rsidRDefault="00AB7CF1">
                            <w:pPr>
                              <w:rPr>
                                <w:rFonts w:ascii="Times New Roman" w:hAnsi="Times New Roman" w:cs="Times New Roman"/>
                                <w:sz w:val="18"/>
                                <w:szCs w:val="18"/>
                                <w:vertAlign w:val="superscript"/>
                              </w:rPr>
                            </w:pPr>
                            <w:r w:rsidRPr="000176FE">
                              <w:rPr>
                                <w:rFonts w:ascii="Times New Roman" w:hAnsi="Times New Roman" w:cs="Times New Roman"/>
                                <w:b/>
                                <w:bCs/>
                                <w:sz w:val="18"/>
                                <w:szCs w:val="18"/>
                              </w:rPr>
                              <w:t>Figure 1</w:t>
                            </w:r>
                            <w:r w:rsidRPr="000176FE">
                              <w:rPr>
                                <w:rFonts w:ascii="Times New Roman" w:hAnsi="Times New Roman" w:cs="Times New Roman"/>
                                <w:sz w:val="18"/>
                                <w:szCs w:val="18"/>
                              </w:rPr>
                              <w:t>: Stages of wound healing include hemostasis, inflammation, proliferation, and remodeling</w:t>
                            </w:r>
                            <w:r>
                              <w:rPr>
                                <w:rFonts w:ascii="Times New Roman" w:hAnsi="Times New Roman" w:cs="Times New Roman"/>
                                <w:sz w:val="18"/>
                                <w:szCs w:val="18"/>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57BF5" id="_x0000_t202" coordsize="21600,21600" o:spt="202" path="m,l,21600r21600,l21600,xe">
                <v:stroke joinstyle="miter"/>
                <v:path gradientshapeok="t" o:connecttype="rect"/>
              </v:shapetype>
              <v:shape id="Text Box 2" o:spid="_x0000_s1026" type="#_x0000_t202" style="position:absolute;margin-left:387.35pt;margin-top:62pt;width:73.25pt;height:1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ruTQIAAKEEAAAOAAAAZHJzL2Uyb0RvYy54bWysVFFv2jAQfp+0/2D5fSSk0BZEqBgV06Sq&#13;&#10;rQRVn41jk2iOz7MNCfv1OzuB0m5P017M+e7L57vv7pjdtbUiB2FdBTqnw0FKidAcikrvcvqyWX25&#13;&#10;pcR5pgumQIucHoWjd/PPn2aNmYoMSlCFsARJtJs2Jqel92aaJI6XomZuAEZoDEqwNfN4tbuksKxB&#13;&#10;9lolWZpeJw3Ywljgwjn03ndBOo/8Ugrun6R0whOVU8zNx9PGcxvOZD5j051lpqx4nwb7hyxqVml8&#13;&#10;9Ex1zzwje1v9QVVX3IID6Qcc6gSkrLiINWA1w/RDNeuSGRFrQXGcOcvk/h8tfzw8W1IVOc0o0azG&#13;&#10;Fm1E68lXaEkW1GmMmyJobRDmW3Rjl09+h85QdCttHX6xHIJx1Pl41jaQcXROrtLx7YgSjqFhNhnd&#13;&#10;ZONAk7x9bazz3wTUJBg5tdi7KCk7PDjfQU+Q8JgDVRWrSql4CfMilsqSA8NOKx9zRPJ3KKVJk9Pr&#13;&#10;q3Eaid/FAvX5+61i/Eef3gUK+ZTGnIMmXe3B8u227YXaQnFEnSx0c+YMX1XI+8Ccf2YWBwulwWXx&#13;&#10;T3hIBZgM9BYlJdhff/MHPPYbo5Q0OKg5dT/3zApK1HeNkzAZjkZhsuNlNL7J8GIvI9vLiN7XS0CF&#13;&#10;hriWhkcz4L06mdJC/Yo7tQivYohpjm/n1J/Mpe/WB3eSi8UignCWDfMPem14oA4dCXpu2ldmTd9P&#13;&#10;j5PwCKeRZtMPbe2w4UsNi70HWcWeB4E7VXvdcQ/i1PQ7Gxbt8h5Rb/8s898AAAD//wMAUEsDBBQA&#13;&#10;BgAIAAAAIQBflN2X4wAAABABAAAPAAAAZHJzL2Rvd25yZXYueG1sTI9LT8MwEITvSPwHa5G4Uaem&#13;&#10;Io/GqXi0XDhREGc3dm2L2I5sNw3/nu0JLiutZnZ2vnYzu4FMKiYbPIflogCifB+k9ZrD58furgKS&#13;&#10;svBSDMErDj8qwaa7vmpFI8PZv6tpnzXBEJ8awcHkPDaUpt4oJ9IijMqjdgzRiYxr1FRGccZwN1BW&#13;&#10;FA/UCevxgxGjejaq/96fHIftk651X4lotpW0dpq/jm/6lfPbm/lljeNxDSSrOf9dwIUB+0OHxQ7h&#13;&#10;5GUiA4eyXJVoRYGtkAwdNVsyIAcO96ysgXYt/Q/S/QIAAP//AwBQSwECLQAUAAYACAAAACEAtoM4&#13;&#10;kv4AAADhAQAAEwAAAAAAAAAAAAAAAAAAAAAAW0NvbnRlbnRfVHlwZXNdLnhtbFBLAQItABQABgAI&#13;&#10;AAAAIQA4/SH/1gAAAJQBAAALAAAAAAAAAAAAAAAAAC8BAABfcmVscy8ucmVsc1BLAQItABQABgAI&#13;&#10;AAAAIQCM+mruTQIAAKEEAAAOAAAAAAAAAAAAAAAAAC4CAABkcnMvZTJvRG9jLnhtbFBLAQItABQA&#13;&#10;BgAIAAAAIQBflN2X4wAAABABAAAPAAAAAAAAAAAAAAAAAKcEAABkcnMvZG93bnJldi54bWxQSwUG&#13;&#10;AAAAAAQABADzAAAAtwUAAAAA&#13;&#10;" fillcolor="white [3201]" strokeweight=".5pt">
                <v:textbox>
                  <w:txbxContent>
                    <w:p w14:paraId="6597759E" w14:textId="5BCE969B" w:rsidR="00AB7CF1" w:rsidRPr="00C642D9" w:rsidRDefault="00AB7CF1">
                      <w:pPr>
                        <w:rPr>
                          <w:rFonts w:ascii="Times New Roman" w:hAnsi="Times New Roman" w:cs="Times New Roman"/>
                          <w:sz w:val="18"/>
                          <w:szCs w:val="18"/>
                          <w:vertAlign w:val="superscript"/>
                        </w:rPr>
                      </w:pPr>
                      <w:r w:rsidRPr="000176FE">
                        <w:rPr>
                          <w:rFonts w:ascii="Times New Roman" w:hAnsi="Times New Roman" w:cs="Times New Roman"/>
                          <w:b/>
                          <w:bCs/>
                          <w:sz w:val="18"/>
                          <w:szCs w:val="18"/>
                        </w:rPr>
                        <w:t>Figure 1</w:t>
                      </w:r>
                      <w:r w:rsidRPr="000176FE">
                        <w:rPr>
                          <w:rFonts w:ascii="Times New Roman" w:hAnsi="Times New Roman" w:cs="Times New Roman"/>
                          <w:sz w:val="18"/>
                          <w:szCs w:val="18"/>
                        </w:rPr>
                        <w:t>: Stages of wound healing include hemostasis, inflammation, proliferation, and remodeling</w:t>
                      </w:r>
                      <w:r>
                        <w:rPr>
                          <w:rFonts w:ascii="Times New Roman" w:hAnsi="Times New Roman" w:cs="Times New Roman"/>
                          <w:sz w:val="18"/>
                          <w:szCs w:val="18"/>
                          <w:vertAlign w:val="superscript"/>
                        </w:rPr>
                        <w:t>1</w:t>
                      </w:r>
                    </w:p>
                  </w:txbxContent>
                </v:textbox>
              </v:shape>
            </w:pict>
          </mc:Fallback>
        </mc:AlternateContent>
      </w:r>
      <w:r w:rsidRPr="00BA76EA">
        <w:rPr>
          <w:rFonts w:ascii="Times New Roman" w:hAnsi="Times New Roman" w:cs="Times New Roman"/>
          <w:noProof/>
          <w:sz w:val="22"/>
          <w:szCs w:val="22"/>
        </w:rPr>
        <w:drawing>
          <wp:anchor distT="0" distB="0" distL="114300" distR="114300" simplePos="0" relativeHeight="251661312" behindDoc="1" locked="0" layoutInCell="1" allowOverlap="1" wp14:anchorId="1414207A" wp14:editId="2671EF82">
            <wp:simplePos x="0" y="0"/>
            <wp:positionH relativeFrom="column">
              <wp:posOffset>2273300</wp:posOffset>
            </wp:positionH>
            <wp:positionV relativeFrom="paragraph">
              <wp:posOffset>350520</wp:posOffset>
            </wp:positionV>
            <wp:extent cx="2515235" cy="1974215"/>
            <wp:effectExtent l="0" t="0" r="0" b="0"/>
            <wp:wrapTight wrapText="left">
              <wp:wrapPolygon edited="0">
                <wp:start x="0" y="0"/>
                <wp:lineTo x="0" y="21399"/>
                <wp:lineTo x="21485" y="21399"/>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1-26 at 1.26.03 PM.png"/>
                    <pic:cNvPicPr/>
                  </pic:nvPicPr>
                  <pic:blipFill>
                    <a:blip r:embed="rId8">
                      <a:extLst>
                        <a:ext uri="{28A0092B-C50C-407E-A947-70E740481C1C}">
                          <a14:useLocalDpi xmlns:a14="http://schemas.microsoft.com/office/drawing/2010/main" val="0"/>
                        </a:ext>
                      </a:extLst>
                    </a:blip>
                    <a:stretch>
                      <a:fillRect/>
                    </a:stretch>
                  </pic:blipFill>
                  <pic:spPr>
                    <a:xfrm>
                      <a:off x="0" y="0"/>
                      <a:ext cx="2515235" cy="1974215"/>
                    </a:xfrm>
                    <a:prstGeom prst="rect">
                      <a:avLst/>
                    </a:prstGeom>
                  </pic:spPr>
                </pic:pic>
              </a:graphicData>
            </a:graphic>
            <wp14:sizeRelH relativeFrom="page">
              <wp14:pctWidth>0</wp14:pctWidth>
            </wp14:sizeRelH>
            <wp14:sizeRelV relativeFrom="page">
              <wp14:pctHeight>0</wp14:pctHeight>
            </wp14:sizeRelV>
          </wp:anchor>
        </w:drawing>
      </w:r>
      <w:r w:rsidR="00A6532D" w:rsidRPr="00BA76EA">
        <w:rPr>
          <w:rFonts w:ascii="Times New Roman" w:hAnsi="Times New Roman" w:cs="Times New Roman"/>
          <w:sz w:val="22"/>
          <w:szCs w:val="22"/>
        </w:rPr>
        <w:t>The four stages of</w:t>
      </w:r>
      <w:r w:rsidR="00CD4EDC" w:rsidRPr="00BA76EA">
        <w:rPr>
          <w:rFonts w:ascii="Times New Roman" w:hAnsi="Times New Roman" w:cs="Times New Roman"/>
          <w:sz w:val="22"/>
          <w:szCs w:val="22"/>
        </w:rPr>
        <w:t xml:space="preserve"> normal</w:t>
      </w:r>
      <w:r w:rsidR="00A6532D" w:rsidRPr="00BA76EA">
        <w:rPr>
          <w:rFonts w:ascii="Times New Roman" w:hAnsi="Times New Roman" w:cs="Times New Roman"/>
          <w:sz w:val="22"/>
          <w:szCs w:val="22"/>
        </w:rPr>
        <w:t xml:space="preserve"> </w:t>
      </w:r>
      <w:r w:rsidR="00CD4EDC" w:rsidRPr="00BA76EA">
        <w:rPr>
          <w:rFonts w:ascii="Times New Roman" w:hAnsi="Times New Roman" w:cs="Times New Roman"/>
          <w:sz w:val="22"/>
          <w:szCs w:val="22"/>
        </w:rPr>
        <w:t xml:space="preserve">wound </w:t>
      </w:r>
      <w:r w:rsidR="00A6532D" w:rsidRPr="00BA76EA">
        <w:rPr>
          <w:rFonts w:ascii="Times New Roman" w:hAnsi="Times New Roman" w:cs="Times New Roman"/>
          <w:sz w:val="22"/>
          <w:szCs w:val="22"/>
        </w:rPr>
        <w:t xml:space="preserve">healing </w:t>
      </w:r>
      <w:r w:rsidR="00CD4EDC" w:rsidRPr="00BA76EA">
        <w:rPr>
          <w:rFonts w:ascii="Times New Roman" w:hAnsi="Times New Roman" w:cs="Times New Roman"/>
          <w:sz w:val="22"/>
          <w:szCs w:val="22"/>
        </w:rPr>
        <w:t>are hemostasis, inflammation, proliferation, and remodeling (</w:t>
      </w:r>
      <w:r w:rsidR="00A6532D" w:rsidRPr="00BA76EA">
        <w:rPr>
          <w:rFonts w:ascii="Times New Roman" w:hAnsi="Times New Roman" w:cs="Times New Roman"/>
          <w:sz w:val="22"/>
          <w:szCs w:val="22"/>
        </w:rPr>
        <w:t xml:space="preserve"> Figure 1</w:t>
      </w:r>
      <w:r w:rsidR="00CD4EDC" w:rsidRPr="00BA76EA">
        <w:rPr>
          <w:rFonts w:ascii="Times New Roman" w:hAnsi="Times New Roman" w:cs="Times New Roman"/>
          <w:sz w:val="22"/>
          <w:szCs w:val="22"/>
        </w:rPr>
        <w:t>)</w:t>
      </w:r>
      <w:r w:rsidR="007E5147" w:rsidRPr="00BA76EA">
        <w:rPr>
          <w:rFonts w:ascii="Times New Roman" w:hAnsi="Times New Roman" w:cs="Times New Roman"/>
          <w:sz w:val="22"/>
          <w:szCs w:val="22"/>
          <w:vertAlign w:val="superscript"/>
        </w:rPr>
        <w:t>2</w:t>
      </w:r>
      <w:r w:rsidR="00A6532D" w:rsidRPr="00BA76EA">
        <w:rPr>
          <w:rFonts w:ascii="Times New Roman" w:hAnsi="Times New Roman" w:cs="Times New Roman"/>
          <w:sz w:val="22"/>
          <w:szCs w:val="22"/>
        </w:rPr>
        <w:t>.</w:t>
      </w:r>
      <w:r w:rsidR="00891F43" w:rsidRPr="00BA76EA">
        <w:rPr>
          <w:rFonts w:ascii="Times New Roman" w:hAnsi="Times New Roman" w:cs="Times New Roman"/>
          <w:sz w:val="22"/>
          <w:szCs w:val="22"/>
        </w:rPr>
        <w:t xml:space="preserve"> C</w:t>
      </w:r>
      <w:r w:rsidR="00CD4EDC" w:rsidRPr="00BA76EA">
        <w:rPr>
          <w:rFonts w:ascii="Times New Roman" w:hAnsi="Times New Roman" w:cs="Times New Roman"/>
          <w:sz w:val="22"/>
          <w:szCs w:val="22"/>
        </w:rPr>
        <w:t>hronic wound</w:t>
      </w:r>
      <w:r w:rsidR="00A213DE" w:rsidRPr="00BA76EA">
        <w:rPr>
          <w:rFonts w:ascii="Times New Roman" w:hAnsi="Times New Roman" w:cs="Times New Roman"/>
          <w:sz w:val="22"/>
          <w:szCs w:val="22"/>
        </w:rPr>
        <w:t>s</w:t>
      </w:r>
      <w:r w:rsidR="00CD4EDC" w:rsidRPr="00BA76EA">
        <w:rPr>
          <w:rFonts w:ascii="Times New Roman" w:hAnsi="Times New Roman" w:cs="Times New Roman"/>
          <w:sz w:val="22"/>
          <w:szCs w:val="22"/>
        </w:rPr>
        <w:t xml:space="preserve"> are a type of wound that remain in the inflammatory stage for a</w:t>
      </w:r>
      <w:r w:rsidR="00A213DE" w:rsidRPr="00BA76EA">
        <w:rPr>
          <w:rFonts w:ascii="Times New Roman" w:hAnsi="Times New Roman" w:cs="Times New Roman"/>
          <w:sz w:val="22"/>
          <w:szCs w:val="22"/>
        </w:rPr>
        <w:t>n</w:t>
      </w:r>
      <w:r w:rsidR="00CD4EDC" w:rsidRPr="00BA76EA">
        <w:rPr>
          <w:rFonts w:ascii="Times New Roman" w:hAnsi="Times New Roman" w:cs="Times New Roman"/>
          <w:sz w:val="22"/>
          <w:szCs w:val="22"/>
        </w:rPr>
        <w:t xml:space="preserve"> extended </w:t>
      </w:r>
      <w:r w:rsidR="00A213DE" w:rsidRPr="00BA76EA">
        <w:rPr>
          <w:rFonts w:ascii="Times New Roman" w:hAnsi="Times New Roman" w:cs="Times New Roman"/>
          <w:sz w:val="22"/>
          <w:szCs w:val="22"/>
        </w:rPr>
        <w:t>period</w:t>
      </w:r>
      <w:r w:rsidR="00CD4EDC" w:rsidRPr="00BA76EA">
        <w:rPr>
          <w:rFonts w:ascii="Times New Roman" w:hAnsi="Times New Roman" w:cs="Times New Roman"/>
          <w:sz w:val="22"/>
          <w:szCs w:val="22"/>
        </w:rPr>
        <w:t xml:space="preserve"> of time</w:t>
      </w:r>
      <w:r w:rsidR="00C642D9" w:rsidRPr="00BA76EA">
        <w:rPr>
          <w:rFonts w:ascii="Times New Roman" w:hAnsi="Times New Roman" w:cs="Times New Roman"/>
          <w:sz w:val="22"/>
          <w:szCs w:val="22"/>
        </w:rPr>
        <w:t xml:space="preserve">. </w:t>
      </w:r>
      <w:r w:rsidR="003F39FA" w:rsidRPr="00BA76EA">
        <w:rPr>
          <w:rFonts w:ascii="Times New Roman" w:hAnsi="Times New Roman" w:cs="Times New Roman"/>
          <w:sz w:val="22"/>
          <w:szCs w:val="22"/>
        </w:rPr>
        <w:t>In the inflammatory stage of wound healing, resident cells such as fibroblasts release inflammatory cytokines at the site of injury</w:t>
      </w:r>
      <w:r w:rsidR="007E5147" w:rsidRPr="00BA76EA">
        <w:rPr>
          <w:rFonts w:ascii="Times New Roman" w:hAnsi="Times New Roman" w:cs="Times New Roman"/>
          <w:sz w:val="22"/>
          <w:szCs w:val="22"/>
          <w:vertAlign w:val="superscript"/>
        </w:rPr>
        <w:t>2</w:t>
      </w:r>
      <w:r w:rsidR="003F39FA" w:rsidRPr="00BA76EA">
        <w:rPr>
          <w:rFonts w:ascii="Times New Roman" w:hAnsi="Times New Roman" w:cs="Times New Roman"/>
          <w:sz w:val="22"/>
          <w:szCs w:val="22"/>
        </w:rPr>
        <w:t xml:space="preserve">. These cytokines attract inflammatory cells such as neutrophils to the area whose function is to initiate phagocytosis of detritus and bacteria in the wound. This decontaminates the </w:t>
      </w:r>
      <w:r w:rsidR="007E5147" w:rsidRPr="00BA76EA">
        <w:rPr>
          <w:rFonts w:ascii="Times New Roman" w:hAnsi="Times New Roman" w:cs="Times New Roman"/>
          <w:sz w:val="22"/>
          <w:szCs w:val="22"/>
        </w:rPr>
        <w:t>wound;</w:t>
      </w:r>
      <w:r w:rsidR="003F39FA" w:rsidRPr="00BA76EA">
        <w:rPr>
          <w:rFonts w:ascii="Times New Roman" w:hAnsi="Times New Roman" w:cs="Times New Roman"/>
          <w:sz w:val="22"/>
          <w:szCs w:val="22"/>
        </w:rPr>
        <w:t xml:space="preserve"> however</w:t>
      </w:r>
      <w:r w:rsidR="007E5147" w:rsidRPr="00BA76EA">
        <w:rPr>
          <w:rFonts w:ascii="Times New Roman" w:hAnsi="Times New Roman" w:cs="Times New Roman"/>
          <w:sz w:val="22"/>
          <w:szCs w:val="22"/>
        </w:rPr>
        <w:t>,</w:t>
      </w:r>
      <w:r w:rsidR="003F39FA" w:rsidRPr="00BA76EA">
        <w:rPr>
          <w:rFonts w:ascii="Times New Roman" w:hAnsi="Times New Roman" w:cs="Times New Roman"/>
          <w:sz w:val="22"/>
          <w:szCs w:val="22"/>
        </w:rPr>
        <w:t xml:space="preserve"> it also causes </w:t>
      </w:r>
      <w:r w:rsidR="007E5147" w:rsidRPr="00BA76EA">
        <w:rPr>
          <w:rFonts w:ascii="Times New Roman" w:hAnsi="Times New Roman" w:cs="Times New Roman"/>
          <w:sz w:val="22"/>
          <w:szCs w:val="22"/>
        </w:rPr>
        <w:t>tissue death</w:t>
      </w:r>
      <w:r w:rsidR="007E5147" w:rsidRPr="00BA76EA">
        <w:rPr>
          <w:rFonts w:ascii="Times New Roman" w:hAnsi="Times New Roman" w:cs="Times New Roman"/>
          <w:sz w:val="22"/>
          <w:szCs w:val="22"/>
          <w:vertAlign w:val="superscript"/>
        </w:rPr>
        <w:t>2</w:t>
      </w:r>
      <w:r w:rsidR="007E5147" w:rsidRPr="00BA76EA">
        <w:rPr>
          <w:rFonts w:ascii="Times New Roman" w:hAnsi="Times New Roman" w:cs="Times New Roman"/>
          <w:sz w:val="22"/>
          <w:szCs w:val="22"/>
        </w:rPr>
        <w:t>.</w:t>
      </w:r>
      <w:r w:rsidR="003F39FA" w:rsidRPr="00BA76EA">
        <w:rPr>
          <w:rFonts w:ascii="Times New Roman" w:hAnsi="Times New Roman" w:cs="Times New Roman"/>
          <w:sz w:val="22"/>
          <w:szCs w:val="22"/>
        </w:rPr>
        <w:t xml:space="preserve"> </w:t>
      </w:r>
      <w:r w:rsidR="007E5147" w:rsidRPr="00BA76EA">
        <w:rPr>
          <w:rFonts w:ascii="Times New Roman" w:hAnsi="Times New Roman" w:cs="Times New Roman"/>
          <w:sz w:val="22"/>
          <w:szCs w:val="22"/>
        </w:rPr>
        <w:t xml:space="preserve">Chronic wounds </w:t>
      </w:r>
      <w:r w:rsidR="003F39FA" w:rsidRPr="00BA76EA">
        <w:rPr>
          <w:rFonts w:ascii="Times New Roman" w:hAnsi="Times New Roman" w:cs="Times New Roman"/>
          <w:sz w:val="22"/>
          <w:szCs w:val="22"/>
        </w:rPr>
        <w:t xml:space="preserve">are unable to transition </w:t>
      </w:r>
      <w:r w:rsidR="007E5147" w:rsidRPr="00BA76EA">
        <w:rPr>
          <w:rFonts w:ascii="Times New Roman" w:hAnsi="Times New Roman" w:cs="Times New Roman"/>
          <w:sz w:val="22"/>
          <w:szCs w:val="22"/>
        </w:rPr>
        <w:t xml:space="preserve">from the inflammatory stage </w:t>
      </w:r>
      <w:r w:rsidR="003F39FA" w:rsidRPr="00BA76EA">
        <w:rPr>
          <w:rFonts w:ascii="Times New Roman" w:hAnsi="Times New Roman" w:cs="Times New Roman"/>
          <w:sz w:val="22"/>
          <w:szCs w:val="22"/>
        </w:rPr>
        <w:t>into the proliferation stage</w:t>
      </w:r>
      <w:r w:rsidR="007E5147" w:rsidRPr="00BA76EA">
        <w:rPr>
          <w:rFonts w:ascii="Times New Roman" w:hAnsi="Times New Roman" w:cs="Times New Roman"/>
          <w:sz w:val="22"/>
          <w:szCs w:val="22"/>
        </w:rPr>
        <w:t>, where inflammation is resolved,</w:t>
      </w:r>
      <w:r w:rsidR="003F39FA" w:rsidRPr="00BA76EA">
        <w:rPr>
          <w:rFonts w:ascii="Times New Roman" w:hAnsi="Times New Roman" w:cs="Times New Roman"/>
          <w:sz w:val="22"/>
          <w:szCs w:val="22"/>
        </w:rPr>
        <w:t xml:space="preserve"> thus leading to tissue </w:t>
      </w:r>
      <w:r w:rsidR="007E5147" w:rsidRPr="00BA76EA">
        <w:rPr>
          <w:rFonts w:ascii="Times New Roman" w:hAnsi="Times New Roman" w:cs="Times New Roman"/>
          <w:sz w:val="22"/>
          <w:szCs w:val="22"/>
        </w:rPr>
        <w:t>damage</w:t>
      </w:r>
      <w:r w:rsidR="003F39FA" w:rsidRPr="00BA76EA">
        <w:rPr>
          <w:rFonts w:ascii="Times New Roman" w:hAnsi="Times New Roman" w:cs="Times New Roman"/>
          <w:sz w:val="22"/>
          <w:szCs w:val="22"/>
        </w:rPr>
        <w:t xml:space="preserve">. </w:t>
      </w:r>
      <w:r w:rsidR="00C642D9" w:rsidRPr="00BA76EA">
        <w:rPr>
          <w:rFonts w:ascii="Times New Roman" w:hAnsi="Times New Roman" w:cs="Times New Roman"/>
          <w:sz w:val="22"/>
          <w:szCs w:val="22"/>
        </w:rPr>
        <w:t>Wounds are classified as chronic if they persist for longer than 4 weeks to 3 months</w:t>
      </w:r>
      <w:r w:rsidR="007E5147" w:rsidRPr="00BA76EA">
        <w:rPr>
          <w:rFonts w:ascii="Times New Roman" w:hAnsi="Times New Roman" w:cs="Times New Roman"/>
          <w:sz w:val="22"/>
          <w:szCs w:val="22"/>
        </w:rPr>
        <w:t>, because the normal healing time for a wound i</w:t>
      </w:r>
      <w:r w:rsidR="00DC325C" w:rsidRPr="00BA76EA">
        <w:rPr>
          <w:rFonts w:ascii="Times New Roman" w:hAnsi="Times New Roman" w:cs="Times New Roman"/>
          <w:sz w:val="22"/>
          <w:szCs w:val="22"/>
        </w:rPr>
        <w:t>s</w:t>
      </w:r>
      <w:r w:rsidR="007E5147" w:rsidRPr="00BA76EA">
        <w:rPr>
          <w:rFonts w:ascii="Times New Roman" w:hAnsi="Times New Roman" w:cs="Times New Roman"/>
          <w:sz w:val="22"/>
          <w:szCs w:val="22"/>
        </w:rPr>
        <w:t xml:space="preserve"> typically 4-6 weeks</w:t>
      </w:r>
      <w:r w:rsidR="007E5147" w:rsidRPr="00BA76EA">
        <w:rPr>
          <w:rFonts w:ascii="Times New Roman" w:hAnsi="Times New Roman" w:cs="Times New Roman"/>
          <w:sz w:val="22"/>
          <w:szCs w:val="22"/>
          <w:vertAlign w:val="superscript"/>
        </w:rPr>
        <w:t>2,3</w:t>
      </w:r>
      <w:r w:rsidR="00C642D9" w:rsidRPr="00BA76EA">
        <w:rPr>
          <w:rFonts w:ascii="Times New Roman" w:hAnsi="Times New Roman" w:cs="Times New Roman"/>
          <w:sz w:val="22"/>
          <w:szCs w:val="22"/>
        </w:rPr>
        <w:t>.</w:t>
      </w:r>
      <w:r w:rsidR="00A527D6" w:rsidRPr="00BA76EA">
        <w:rPr>
          <w:rFonts w:ascii="Times New Roman" w:hAnsi="Times New Roman" w:cs="Times New Roman"/>
          <w:sz w:val="22"/>
          <w:szCs w:val="22"/>
        </w:rPr>
        <w:t xml:space="preserve"> One factor that contributes to the prolonged response seen in chronic wounds is the extended expression of proinflammatory genes.</w:t>
      </w:r>
      <w:r w:rsidR="007B0BE5" w:rsidRPr="00BA76EA">
        <w:rPr>
          <w:rFonts w:ascii="Times New Roman" w:hAnsi="Times New Roman" w:cs="Times New Roman"/>
          <w:sz w:val="22"/>
          <w:szCs w:val="22"/>
        </w:rPr>
        <w:t xml:space="preserve"> In order to move into the proliferation stage, </w:t>
      </w:r>
      <w:r w:rsidR="00DC325C" w:rsidRPr="00BA76EA">
        <w:rPr>
          <w:rFonts w:ascii="Times New Roman" w:hAnsi="Times New Roman" w:cs="Times New Roman"/>
          <w:sz w:val="22"/>
          <w:szCs w:val="22"/>
        </w:rPr>
        <w:t xml:space="preserve">the largescale production of proinflammatory cytokines needs to be halted in order to prevent the migration of neutrophils to the wound site. </w:t>
      </w:r>
      <w:r w:rsidR="009341DA" w:rsidRPr="00BA76EA">
        <w:rPr>
          <w:rFonts w:ascii="Times New Roman" w:hAnsi="Times New Roman" w:cs="Times New Roman"/>
          <w:sz w:val="22"/>
          <w:szCs w:val="22"/>
        </w:rPr>
        <w:t>Therefore, when proinflammatory cytokines are produced for longer than is necessary, then the inflammatory stage persists thus leading to further tissue damage</w:t>
      </w:r>
      <w:r w:rsidR="009341DA" w:rsidRPr="00BA76EA">
        <w:rPr>
          <w:rFonts w:ascii="Times New Roman" w:hAnsi="Times New Roman" w:cs="Times New Roman"/>
          <w:sz w:val="22"/>
          <w:szCs w:val="22"/>
          <w:vertAlign w:val="superscript"/>
        </w:rPr>
        <w:t>4</w:t>
      </w:r>
      <w:r w:rsidR="009341DA" w:rsidRPr="00BA76EA">
        <w:rPr>
          <w:rFonts w:ascii="Times New Roman" w:hAnsi="Times New Roman" w:cs="Times New Roman"/>
          <w:sz w:val="22"/>
          <w:szCs w:val="22"/>
        </w:rPr>
        <w:t>.</w:t>
      </w:r>
    </w:p>
    <w:p w14:paraId="20A3011B" w14:textId="2C1F1B35" w:rsidR="00735EB7" w:rsidRPr="00BA76EA" w:rsidRDefault="00735EB7" w:rsidP="00BA76EA">
      <w:pPr>
        <w:rPr>
          <w:rFonts w:ascii="Times New Roman" w:hAnsi="Times New Roman" w:cs="Times New Roman"/>
          <w:sz w:val="22"/>
          <w:szCs w:val="22"/>
        </w:rPr>
      </w:pPr>
    </w:p>
    <w:p w14:paraId="79B7C919" w14:textId="26288B0F" w:rsidR="00E658AC" w:rsidRPr="00BA76EA" w:rsidRDefault="00415895" w:rsidP="00BA76EA">
      <w:pPr>
        <w:rPr>
          <w:rFonts w:ascii="Times New Roman" w:hAnsi="Times New Roman" w:cs="Times New Roman"/>
          <w:sz w:val="22"/>
          <w:szCs w:val="22"/>
        </w:rPr>
      </w:pPr>
      <w:r w:rsidRPr="00BA76EA">
        <w:rPr>
          <w:rFonts w:ascii="Times New Roman" w:hAnsi="Times New Roman" w:cs="Times New Roman"/>
          <w:sz w:val="22"/>
          <w:szCs w:val="22"/>
        </w:rPr>
        <w:t>Fibroblasts</w:t>
      </w:r>
      <w:r w:rsidR="00B42594" w:rsidRPr="00BA76EA">
        <w:rPr>
          <w:rFonts w:ascii="Times New Roman" w:hAnsi="Times New Roman" w:cs="Times New Roman"/>
          <w:sz w:val="22"/>
          <w:szCs w:val="22"/>
        </w:rPr>
        <w:t xml:space="preserve"> are the main type of resident cell present in connective tissue.</w:t>
      </w:r>
      <w:r w:rsidR="007F67BB" w:rsidRPr="00BA76EA">
        <w:rPr>
          <w:rFonts w:ascii="Times New Roman" w:hAnsi="Times New Roman" w:cs="Times New Roman"/>
          <w:sz w:val="22"/>
          <w:szCs w:val="22"/>
        </w:rPr>
        <w:t xml:space="preserve"> This type of cell generates extracellular matrix proteins that provide structure to tissue</w:t>
      </w:r>
      <w:r w:rsidR="00117F87" w:rsidRPr="00BA76EA">
        <w:rPr>
          <w:rFonts w:ascii="Times New Roman" w:hAnsi="Times New Roman" w:cs="Times New Roman"/>
          <w:sz w:val="22"/>
          <w:szCs w:val="22"/>
          <w:vertAlign w:val="superscript"/>
        </w:rPr>
        <w:t>5</w:t>
      </w:r>
      <w:r w:rsidR="007F67BB" w:rsidRPr="00BA76EA">
        <w:rPr>
          <w:rFonts w:ascii="Times New Roman" w:hAnsi="Times New Roman" w:cs="Times New Roman"/>
          <w:sz w:val="22"/>
          <w:szCs w:val="22"/>
        </w:rPr>
        <w:t>. Additionally, fibroblasts direct inflammation by producing proinflammatory cytokines</w:t>
      </w:r>
      <w:r w:rsidR="00117F87" w:rsidRPr="00BA76EA">
        <w:rPr>
          <w:rFonts w:ascii="Times New Roman" w:hAnsi="Times New Roman" w:cs="Times New Roman"/>
          <w:sz w:val="22"/>
          <w:szCs w:val="22"/>
        </w:rPr>
        <w:t xml:space="preserve"> such as Interleukin-8 (IL-8). </w:t>
      </w:r>
      <w:r w:rsidR="00A43717" w:rsidRPr="00BA76EA">
        <w:rPr>
          <w:rFonts w:ascii="Times New Roman" w:hAnsi="Times New Roman" w:cs="Times New Roman"/>
          <w:sz w:val="22"/>
          <w:szCs w:val="22"/>
        </w:rPr>
        <w:t>Fibroblasts express a receptor called Toll-Like Receptor-4 (TLR4) which is activated upon exposure to lipopolysaccharides which are endotoxins found on gram negative bacteria</w:t>
      </w:r>
      <w:r w:rsidR="00A43717" w:rsidRPr="00BA76EA">
        <w:rPr>
          <w:rFonts w:ascii="Times New Roman" w:hAnsi="Times New Roman" w:cs="Times New Roman"/>
          <w:sz w:val="22"/>
          <w:szCs w:val="22"/>
          <w:vertAlign w:val="superscript"/>
        </w:rPr>
        <w:t>6</w:t>
      </w:r>
      <w:r w:rsidR="00A43717" w:rsidRPr="00BA76EA">
        <w:rPr>
          <w:rFonts w:ascii="Times New Roman" w:hAnsi="Times New Roman" w:cs="Times New Roman"/>
          <w:sz w:val="22"/>
          <w:szCs w:val="22"/>
        </w:rPr>
        <w:t>. This recognition of LPS causes the activation of a pathway that produces IL-8</w:t>
      </w:r>
      <w:r w:rsidR="006F5F96" w:rsidRPr="00BA76EA">
        <w:rPr>
          <w:rFonts w:ascii="Times New Roman" w:hAnsi="Times New Roman" w:cs="Times New Roman"/>
          <w:sz w:val="22"/>
          <w:szCs w:val="22"/>
          <w:vertAlign w:val="superscript"/>
        </w:rPr>
        <w:t>6</w:t>
      </w:r>
      <w:r w:rsidR="00A43717" w:rsidRPr="00BA76EA">
        <w:rPr>
          <w:rFonts w:ascii="Times New Roman" w:hAnsi="Times New Roman" w:cs="Times New Roman"/>
          <w:sz w:val="22"/>
          <w:szCs w:val="22"/>
        </w:rPr>
        <w:t xml:space="preserve">. </w:t>
      </w:r>
      <w:r w:rsidR="006F5F96" w:rsidRPr="00BA76EA">
        <w:rPr>
          <w:rFonts w:ascii="Times New Roman" w:hAnsi="Times New Roman" w:cs="Times New Roman"/>
          <w:sz w:val="22"/>
          <w:szCs w:val="22"/>
        </w:rPr>
        <w:t>Fibroblasts isolated from chronic wounds produce a specific pattern of cytokines that differs from those of normally healing wounds thus indicating that these two types of fibroblasts display different phenotypes</w:t>
      </w:r>
      <w:r w:rsidR="006F5F96" w:rsidRPr="00BA76EA">
        <w:rPr>
          <w:rFonts w:ascii="Times New Roman" w:hAnsi="Times New Roman" w:cs="Times New Roman"/>
          <w:sz w:val="22"/>
          <w:szCs w:val="22"/>
          <w:vertAlign w:val="superscript"/>
        </w:rPr>
        <w:t>7</w:t>
      </w:r>
      <w:r w:rsidR="006F5F96" w:rsidRPr="00BA76EA">
        <w:rPr>
          <w:rFonts w:ascii="Times New Roman" w:hAnsi="Times New Roman" w:cs="Times New Roman"/>
          <w:sz w:val="22"/>
          <w:szCs w:val="22"/>
        </w:rPr>
        <w:t>. This difference is stable throughout time indicating that this change in phenotype might be permanent which could cause the amplification of inflammation for an extended period of time seen in chronic wounds. Because these changes appear to be permanent, it is possible that changes to the epigenetics of proinflammatory molecule genes might be involved</w:t>
      </w:r>
      <w:r w:rsidR="006F5F96" w:rsidRPr="00BA76EA">
        <w:rPr>
          <w:rFonts w:ascii="Times New Roman" w:hAnsi="Times New Roman" w:cs="Times New Roman"/>
          <w:sz w:val="22"/>
          <w:szCs w:val="22"/>
          <w:vertAlign w:val="superscript"/>
        </w:rPr>
        <w:t>7</w:t>
      </w:r>
      <w:r w:rsidR="006F5F96" w:rsidRPr="00BA76EA">
        <w:rPr>
          <w:rFonts w:ascii="Times New Roman" w:hAnsi="Times New Roman" w:cs="Times New Roman"/>
          <w:sz w:val="22"/>
          <w:szCs w:val="22"/>
        </w:rPr>
        <w:t>.</w:t>
      </w:r>
    </w:p>
    <w:p w14:paraId="41925FFA" w14:textId="24CF6DD5" w:rsidR="0050151E" w:rsidRPr="00BA76EA" w:rsidRDefault="009A3FDD" w:rsidP="00BA76EA">
      <w:pPr>
        <w:rPr>
          <w:rFonts w:ascii="Times New Roman" w:hAnsi="Times New Roman" w:cs="Times New Roman"/>
          <w:sz w:val="22"/>
          <w:szCs w:val="22"/>
        </w:rPr>
      </w:pPr>
      <w:r w:rsidRPr="00BA76EA">
        <w:rPr>
          <w:rFonts w:ascii="Times New Roman" w:hAnsi="Times New Roman" w:cs="Times New Roman"/>
          <w:noProof/>
          <w:sz w:val="22"/>
          <w:szCs w:val="22"/>
        </w:rPr>
        <w:drawing>
          <wp:anchor distT="0" distB="0" distL="114300" distR="114300" simplePos="0" relativeHeight="251662336" behindDoc="1" locked="0" layoutInCell="1" allowOverlap="1" wp14:anchorId="6963E57A" wp14:editId="238B8355">
            <wp:simplePos x="0" y="0"/>
            <wp:positionH relativeFrom="column">
              <wp:posOffset>2457011</wp:posOffset>
            </wp:positionH>
            <wp:positionV relativeFrom="paragraph">
              <wp:posOffset>58892</wp:posOffset>
            </wp:positionV>
            <wp:extent cx="2670048" cy="1792224"/>
            <wp:effectExtent l="0" t="0" r="0" b="0"/>
            <wp:wrapTight wrapText="left">
              <wp:wrapPolygon edited="0">
                <wp:start x="0" y="0"/>
                <wp:lineTo x="0" y="21432"/>
                <wp:lineTo x="21477" y="21432"/>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1-26 at 9.54.57 PM.png"/>
                    <pic:cNvPicPr/>
                  </pic:nvPicPr>
                  <pic:blipFill>
                    <a:blip r:embed="rId9">
                      <a:extLst>
                        <a:ext uri="{28A0092B-C50C-407E-A947-70E740481C1C}">
                          <a14:useLocalDpi xmlns:a14="http://schemas.microsoft.com/office/drawing/2010/main" val="0"/>
                        </a:ext>
                      </a:extLst>
                    </a:blip>
                    <a:stretch>
                      <a:fillRect/>
                    </a:stretch>
                  </pic:blipFill>
                  <pic:spPr>
                    <a:xfrm>
                      <a:off x="0" y="0"/>
                      <a:ext cx="2670048" cy="1792224"/>
                    </a:xfrm>
                    <a:prstGeom prst="rect">
                      <a:avLst/>
                    </a:prstGeom>
                  </pic:spPr>
                </pic:pic>
              </a:graphicData>
            </a:graphic>
            <wp14:sizeRelH relativeFrom="margin">
              <wp14:pctWidth>0</wp14:pctWidth>
            </wp14:sizeRelH>
            <wp14:sizeRelV relativeFrom="margin">
              <wp14:pctHeight>0</wp14:pctHeight>
            </wp14:sizeRelV>
          </wp:anchor>
        </w:drawing>
      </w:r>
    </w:p>
    <w:p w14:paraId="60123AF0" w14:textId="682B3085" w:rsidR="0050151E" w:rsidRPr="00BA76EA" w:rsidRDefault="009A3FDD"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4125F154" wp14:editId="0E81BCD1">
                <wp:simplePos x="0" y="0"/>
                <wp:positionH relativeFrom="column">
                  <wp:posOffset>5170154</wp:posOffset>
                </wp:positionH>
                <wp:positionV relativeFrom="paragraph">
                  <wp:posOffset>66040</wp:posOffset>
                </wp:positionV>
                <wp:extent cx="841571" cy="1383738"/>
                <wp:effectExtent l="0" t="0" r="9525" b="13335"/>
                <wp:wrapNone/>
                <wp:docPr id="4" name="Text Box 4"/>
                <wp:cNvGraphicFramePr/>
                <a:graphic xmlns:a="http://schemas.openxmlformats.org/drawingml/2006/main">
                  <a:graphicData uri="http://schemas.microsoft.com/office/word/2010/wordprocessingShape">
                    <wps:wsp>
                      <wps:cNvSpPr txBox="1"/>
                      <wps:spPr>
                        <a:xfrm>
                          <a:off x="0" y="0"/>
                          <a:ext cx="841571" cy="1383738"/>
                        </a:xfrm>
                        <a:prstGeom prst="rect">
                          <a:avLst/>
                        </a:prstGeom>
                        <a:solidFill>
                          <a:schemeClr val="lt1"/>
                        </a:solidFill>
                        <a:ln w="6350">
                          <a:solidFill>
                            <a:prstClr val="black"/>
                          </a:solidFill>
                        </a:ln>
                      </wps:spPr>
                      <wps:txbx>
                        <w:txbxContent>
                          <w:p w14:paraId="3DCC684F" w14:textId="42E6CFFE" w:rsidR="00AB7CF1" w:rsidRPr="00735EB7" w:rsidRDefault="00AB7CF1">
                            <w:pPr>
                              <w:rPr>
                                <w:rFonts w:ascii="Times New Roman" w:hAnsi="Times New Roman" w:cs="Times New Roman"/>
                                <w:b/>
                                <w:bCs/>
                                <w:sz w:val="18"/>
                                <w:szCs w:val="18"/>
                              </w:rPr>
                            </w:pPr>
                            <w:r w:rsidRPr="009871EE">
                              <w:rPr>
                                <w:rFonts w:ascii="Times New Roman" w:hAnsi="Times New Roman" w:cs="Times New Roman"/>
                                <w:b/>
                                <w:bCs/>
                                <w:sz w:val="18"/>
                                <w:szCs w:val="18"/>
                              </w:rPr>
                              <w:t>Figure 2:</w:t>
                            </w:r>
                            <w:r>
                              <w:rPr>
                                <w:rFonts w:ascii="Times New Roman" w:hAnsi="Times New Roman" w:cs="Times New Roman"/>
                                <w:b/>
                                <w:bCs/>
                                <w:sz w:val="18"/>
                                <w:szCs w:val="18"/>
                              </w:rPr>
                              <w:t xml:space="preserve"> </w:t>
                            </w:r>
                            <w:r w:rsidRPr="009871EE">
                              <w:rPr>
                                <w:rFonts w:ascii="Times New Roman" w:hAnsi="Times New Roman" w:cs="Times New Roman"/>
                                <w:sz w:val="18"/>
                                <w:szCs w:val="18"/>
                              </w:rPr>
                              <w:t>The 6 CpG sites found in the promoter region of the CXCL8 gene are highlighted in yellow</w:t>
                            </w:r>
                            <w:r>
                              <w:rPr>
                                <w:rFonts w:ascii="Times New Roman" w:hAnsi="Times New Roman" w:cs="Times New Roman"/>
                                <w:sz w:val="18"/>
                                <w:szCs w:val="18"/>
                                <w:vertAlign w:val="superscript"/>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F154" id="Text Box 4" o:spid="_x0000_s1027" type="#_x0000_t202" style="position:absolute;margin-left:407.1pt;margin-top:5.2pt;width:66.25pt;height:10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VTmTgIAAKgEAAAOAAAAZHJzL2Uyb0RvYy54bWysVMGO2jAQvVfqP1i+lxAIC40IK8qKqhLa&#13;&#10;XQmqPRvHIVEdj2sbEvr1HTuBZbc9Vb2Y8czL88ybGeb3bS3JSRhbgcpoPBhSIhSHvFKHjH7frT/N&#13;&#10;KLGOqZxJUCKjZ2Hp/eLjh3mjUzGCEmQuDEESZdNGZ7R0TqdRZHkpamYHoIXCYAGmZg6v5hDlhjXI&#13;&#10;XstoNBzeRQ2YXBvgwlr0PnRBugj8RSG4eyoKKxyRGcXcXDhNOPf+jBZzlh4M02XF+zTYP2RRs0rh&#13;&#10;o1eqB+YYOZrqD6q64gYsFG7AoY6gKCouQg1YTTx8V822ZFqEWlAcq68y2f9Hyx9Pz4ZUeUYTShSr&#13;&#10;sUU70TryBVqSeHUabVMEbTXCXItu7PLFb9Hpi24LU/tfLIdgHHU+X7X1ZBydsySeTGNKOIbi8Ww8&#13;&#10;Hc88TfT6tTbWfRVQE29k1GDvgqTstLGug14g/jELssrXlZTh4udFrKQhJ4adli7kiORvUFKRJqN3&#13;&#10;48kwEL+Jeerr93vJ+I8+vRsU8kmFOXtNutq95dp9GxS86rKH/IxyGejGzWq+rpB+w6x7ZgbnCxXC&#13;&#10;nXFPeBQSMCfoLUpKML/+5vd4bDtGKWlwXjNqfx6ZEZTIbwoH4nOcJH7AwyWZTEd4MbeR/W1EHesV&#13;&#10;oFDYEMwumB7v5MUsDNQvuFpL/yqGmOL4dkbdxVy5botwNblYLgMIR1ozt1FbzT21b4yXdde+MKP7&#13;&#10;tjociEe4TDZL33W3w/ovFSyPDooqtN7r3Knay4/rEIanX12/b7f3gHr9g1n8BgAA//8DAFBLAwQU&#13;&#10;AAYACAAAACEAI5pJaOEAAAAPAQAADwAAAGRycy9kb3ducmV2LnhtbExPy07DMBC8I/EP1iJxo05D&#13;&#10;VNw0TsWjcOFEQZzd2LUj4nVku2n4e5YTXEZazew8mu3sBzaZmPqAEpaLApjBLugerYSP9+cbASxl&#13;&#10;hVoNAY2Eb5Ng215eNKrW4YxvZtpny8gEU60kuJzHmvPUOeNVWoTRIHHHEL3KdEbLdVRnMvcDL4ti&#13;&#10;xb3qkRKcGs2jM93X/uQl7B7s2nZCRbcTuu+n+fP4al+kvL6anzYE9xtg2cz57wN+N1B/aKnYIZxQ&#13;&#10;JzZIEMuqJCkRRQWMBOtqdQfsIKEsxS3wtuH/d7Q/AAAA//8DAFBLAQItABQABgAIAAAAIQC2gziS&#13;&#10;/gAAAOEBAAATAAAAAAAAAAAAAAAAAAAAAABbQ29udGVudF9UeXBlc10ueG1sUEsBAi0AFAAGAAgA&#13;&#10;AAAhADj9If/WAAAAlAEAAAsAAAAAAAAAAAAAAAAALwEAAF9yZWxzLy5yZWxzUEsBAi0AFAAGAAgA&#13;&#10;AAAhAFZ9VOZOAgAAqAQAAA4AAAAAAAAAAAAAAAAALgIAAGRycy9lMm9Eb2MueG1sUEsBAi0AFAAG&#13;&#10;AAgAAAAhACOaSWjhAAAADwEAAA8AAAAAAAAAAAAAAAAAqAQAAGRycy9kb3ducmV2LnhtbFBLBQYA&#13;&#10;AAAABAAEAPMAAAC2BQAAAAA=&#13;&#10;" fillcolor="white [3201]" strokeweight=".5pt">
                <v:textbox>
                  <w:txbxContent>
                    <w:p w14:paraId="3DCC684F" w14:textId="42E6CFFE" w:rsidR="00AB7CF1" w:rsidRPr="00735EB7" w:rsidRDefault="00AB7CF1">
                      <w:pPr>
                        <w:rPr>
                          <w:rFonts w:ascii="Times New Roman" w:hAnsi="Times New Roman" w:cs="Times New Roman"/>
                          <w:b/>
                          <w:bCs/>
                          <w:sz w:val="18"/>
                          <w:szCs w:val="18"/>
                        </w:rPr>
                      </w:pPr>
                      <w:r w:rsidRPr="009871EE">
                        <w:rPr>
                          <w:rFonts w:ascii="Times New Roman" w:hAnsi="Times New Roman" w:cs="Times New Roman"/>
                          <w:b/>
                          <w:bCs/>
                          <w:sz w:val="18"/>
                          <w:szCs w:val="18"/>
                        </w:rPr>
                        <w:t>Figure 2:</w:t>
                      </w:r>
                      <w:r>
                        <w:rPr>
                          <w:rFonts w:ascii="Times New Roman" w:hAnsi="Times New Roman" w:cs="Times New Roman"/>
                          <w:b/>
                          <w:bCs/>
                          <w:sz w:val="18"/>
                          <w:szCs w:val="18"/>
                        </w:rPr>
                        <w:t xml:space="preserve"> </w:t>
                      </w:r>
                      <w:r w:rsidRPr="009871EE">
                        <w:rPr>
                          <w:rFonts w:ascii="Times New Roman" w:hAnsi="Times New Roman" w:cs="Times New Roman"/>
                          <w:sz w:val="18"/>
                          <w:szCs w:val="18"/>
                        </w:rPr>
                        <w:t>The 6 CpG sites found in the promoter region of the CXCL8 gene are highlighted in yellow</w:t>
                      </w:r>
                      <w:r>
                        <w:rPr>
                          <w:rFonts w:ascii="Times New Roman" w:hAnsi="Times New Roman" w:cs="Times New Roman"/>
                          <w:sz w:val="18"/>
                          <w:szCs w:val="18"/>
                          <w:vertAlign w:val="superscript"/>
                        </w:rPr>
                        <w:t>9</w:t>
                      </w:r>
                    </w:p>
                  </w:txbxContent>
                </v:textbox>
              </v:shape>
            </w:pict>
          </mc:Fallback>
        </mc:AlternateContent>
      </w:r>
      <w:r w:rsidR="0050151E" w:rsidRPr="00BA76EA">
        <w:rPr>
          <w:rFonts w:ascii="Times New Roman" w:hAnsi="Times New Roman" w:cs="Times New Roman"/>
          <w:sz w:val="22"/>
          <w:szCs w:val="22"/>
        </w:rPr>
        <w:t>Interleukin-8 is a proinflammatory cytokine that causes neutrophils to migrate to the wound site. The neutrophils secrete granule enzymes which degrade connective tissue thus decontaminating the wound site by inducing cell death</w:t>
      </w:r>
      <w:r w:rsidR="00B1096E" w:rsidRPr="00BA76EA">
        <w:rPr>
          <w:rFonts w:ascii="Times New Roman" w:hAnsi="Times New Roman" w:cs="Times New Roman"/>
          <w:sz w:val="22"/>
          <w:szCs w:val="22"/>
          <w:vertAlign w:val="superscript"/>
        </w:rPr>
        <w:t>8</w:t>
      </w:r>
      <w:r w:rsidR="0050151E" w:rsidRPr="00BA76EA">
        <w:rPr>
          <w:rFonts w:ascii="Times New Roman" w:hAnsi="Times New Roman" w:cs="Times New Roman"/>
          <w:sz w:val="22"/>
          <w:szCs w:val="22"/>
        </w:rPr>
        <w:t>. The gene that produces IL-8 is CXCL-8 and it is located on chromosome 4 in humans.</w:t>
      </w:r>
      <w:r w:rsidR="00B1096E" w:rsidRPr="00BA76EA">
        <w:rPr>
          <w:rFonts w:ascii="Times New Roman" w:hAnsi="Times New Roman" w:cs="Times New Roman"/>
          <w:sz w:val="22"/>
          <w:szCs w:val="22"/>
        </w:rPr>
        <w:t xml:space="preserve"> This gene contains several CpG dinucleotides in its promoter region </w:t>
      </w:r>
      <w:r w:rsidR="00B1096E" w:rsidRPr="00BA76EA">
        <w:rPr>
          <w:rFonts w:ascii="Times New Roman" w:hAnsi="Times New Roman" w:cs="Times New Roman"/>
          <w:sz w:val="22"/>
          <w:szCs w:val="22"/>
        </w:rPr>
        <w:lastRenderedPageBreak/>
        <w:t>(Figure 2)</w:t>
      </w:r>
      <w:r w:rsidR="009871EE" w:rsidRPr="00BA76EA">
        <w:rPr>
          <w:rFonts w:ascii="Times New Roman" w:hAnsi="Times New Roman" w:cs="Times New Roman"/>
          <w:sz w:val="22"/>
          <w:szCs w:val="22"/>
          <w:vertAlign w:val="superscript"/>
        </w:rPr>
        <w:t>9</w:t>
      </w:r>
      <w:r w:rsidR="00B1096E" w:rsidRPr="00BA76EA">
        <w:rPr>
          <w:rFonts w:ascii="Times New Roman" w:hAnsi="Times New Roman" w:cs="Times New Roman"/>
          <w:sz w:val="22"/>
          <w:szCs w:val="22"/>
        </w:rPr>
        <w:t xml:space="preserve">. </w:t>
      </w:r>
      <w:r w:rsidR="00735EB7" w:rsidRPr="00BA76EA">
        <w:rPr>
          <w:rFonts w:ascii="Times New Roman" w:hAnsi="Times New Roman" w:cs="Times New Roman"/>
          <w:sz w:val="22"/>
          <w:szCs w:val="22"/>
        </w:rPr>
        <w:t xml:space="preserve">CpG sites are where DNA methylation occurs </w:t>
      </w:r>
      <w:r w:rsidR="00CD41A6" w:rsidRPr="00BA76EA">
        <w:rPr>
          <w:rFonts w:ascii="Times New Roman" w:hAnsi="Times New Roman" w:cs="Times New Roman"/>
          <w:sz w:val="22"/>
          <w:szCs w:val="22"/>
        </w:rPr>
        <w:t xml:space="preserve">which consequently decreases expression of that gene. </w:t>
      </w:r>
      <w:r w:rsidR="00E562BB" w:rsidRPr="00BA76EA">
        <w:rPr>
          <w:rFonts w:ascii="Times New Roman" w:hAnsi="Times New Roman" w:cs="Times New Roman"/>
          <w:sz w:val="22"/>
          <w:szCs w:val="22"/>
        </w:rPr>
        <w:t>It is possible that the CXCL-8 gene is being permanently hypomethylated in chronic wounds leading to the prolonged production</w:t>
      </w:r>
      <w:r w:rsidR="00970DD8" w:rsidRPr="00BA76EA">
        <w:rPr>
          <w:rFonts w:ascii="Times New Roman" w:hAnsi="Times New Roman" w:cs="Times New Roman"/>
          <w:sz w:val="22"/>
          <w:szCs w:val="22"/>
        </w:rPr>
        <w:t xml:space="preserve"> of</w:t>
      </w:r>
      <w:r w:rsidR="00E562BB" w:rsidRPr="00BA76EA">
        <w:rPr>
          <w:rFonts w:ascii="Times New Roman" w:hAnsi="Times New Roman" w:cs="Times New Roman"/>
          <w:sz w:val="22"/>
          <w:szCs w:val="22"/>
        </w:rPr>
        <w:t xml:space="preserve"> IL-8</w:t>
      </w:r>
      <w:r w:rsidR="007A3584" w:rsidRPr="00BA76EA">
        <w:rPr>
          <w:rFonts w:ascii="Times New Roman" w:hAnsi="Times New Roman" w:cs="Times New Roman"/>
          <w:sz w:val="22"/>
          <w:szCs w:val="22"/>
          <w:vertAlign w:val="superscript"/>
        </w:rPr>
        <w:t>10</w:t>
      </w:r>
      <w:r w:rsidR="00E562BB" w:rsidRPr="00BA76EA">
        <w:rPr>
          <w:rFonts w:ascii="Times New Roman" w:hAnsi="Times New Roman" w:cs="Times New Roman"/>
          <w:sz w:val="22"/>
          <w:szCs w:val="22"/>
        </w:rPr>
        <w:t>.</w:t>
      </w:r>
    </w:p>
    <w:p w14:paraId="65E85E95" w14:textId="733D2F2A" w:rsidR="0050151E" w:rsidRPr="00BA76EA" w:rsidRDefault="0050151E" w:rsidP="00BA76EA">
      <w:pPr>
        <w:rPr>
          <w:rFonts w:ascii="Times New Roman" w:hAnsi="Times New Roman" w:cs="Times New Roman"/>
          <w:sz w:val="22"/>
          <w:szCs w:val="22"/>
        </w:rPr>
      </w:pPr>
    </w:p>
    <w:p w14:paraId="167B06A2" w14:textId="3CC29B70" w:rsidR="00D9229D" w:rsidRPr="00BA76EA" w:rsidRDefault="00D9229D" w:rsidP="00BA76EA">
      <w:pPr>
        <w:rPr>
          <w:rFonts w:ascii="Times New Roman" w:hAnsi="Times New Roman" w:cs="Times New Roman"/>
          <w:sz w:val="22"/>
          <w:szCs w:val="22"/>
        </w:rPr>
      </w:pPr>
      <w:r w:rsidRPr="00BA76EA">
        <w:rPr>
          <w:rFonts w:ascii="Times New Roman" w:hAnsi="Times New Roman" w:cs="Times New Roman"/>
          <w:sz w:val="22"/>
          <w:szCs w:val="22"/>
        </w:rPr>
        <w:t xml:space="preserve">DNA methylation is when methyl groups are added to cytosines adjacent to guanine nucleotides, known as CpG sequences. </w:t>
      </w:r>
      <w:r w:rsidR="002E47FD" w:rsidRPr="00BA76EA">
        <w:rPr>
          <w:rFonts w:ascii="Times New Roman" w:hAnsi="Times New Roman" w:cs="Times New Roman"/>
          <w:sz w:val="22"/>
          <w:szCs w:val="22"/>
        </w:rPr>
        <w:t>These sites are</w:t>
      </w:r>
      <w:r w:rsidRPr="00BA76EA">
        <w:rPr>
          <w:rFonts w:ascii="Times New Roman" w:hAnsi="Times New Roman" w:cs="Times New Roman"/>
          <w:sz w:val="22"/>
          <w:szCs w:val="22"/>
        </w:rPr>
        <w:t xml:space="preserve"> commonly methylated because the methylase enzyme </w:t>
      </w:r>
      <w:r w:rsidR="002E47FD" w:rsidRPr="00BA76EA">
        <w:rPr>
          <w:rFonts w:ascii="Times New Roman" w:hAnsi="Times New Roman" w:cs="Times New Roman"/>
          <w:sz w:val="22"/>
          <w:szCs w:val="22"/>
        </w:rPr>
        <w:t>recognizes them</w:t>
      </w:r>
      <w:r w:rsidRPr="00BA76EA">
        <w:rPr>
          <w:rFonts w:ascii="Times New Roman" w:hAnsi="Times New Roman" w:cs="Times New Roman"/>
          <w:sz w:val="22"/>
          <w:szCs w:val="22"/>
        </w:rPr>
        <w:t xml:space="preserve"> and adds methyl groups to the cytosines of new DNA strands to maintain the pattern of silenced gene expression during DNA replication</w:t>
      </w:r>
      <w:r w:rsidR="002E47FD" w:rsidRPr="00BA76EA">
        <w:rPr>
          <w:rFonts w:ascii="Times New Roman" w:hAnsi="Times New Roman" w:cs="Times New Roman"/>
          <w:sz w:val="22"/>
          <w:szCs w:val="22"/>
          <w:vertAlign w:val="superscript"/>
        </w:rPr>
        <w:t>11</w:t>
      </w:r>
      <w:r w:rsidRPr="00BA76EA">
        <w:rPr>
          <w:rFonts w:ascii="Times New Roman" w:hAnsi="Times New Roman" w:cs="Times New Roman"/>
          <w:sz w:val="22"/>
          <w:szCs w:val="22"/>
        </w:rPr>
        <w:t>. The effect of DNA methylation is the silencing of a gene. When a sequence has been methylated, the methyl groups attract histone deacetylases which remove acetyl groups from the histone. When the histone is deacetylated, the DNA is packed too tightly, and transcription cannot occur because transcription factors cannot bind to the enhancer or promoter sequences, therefore gene expression is silenced</w:t>
      </w:r>
      <w:r w:rsidR="002E47FD" w:rsidRPr="00BA76EA">
        <w:rPr>
          <w:rFonts w:ascii="Times New Roman" w:hAnsi="Times New Roman" w:cs="Times New Roman"/>
          <w:sz w:val="22"/>
          <w:szCs w:val="22"/>
          <w:vertAlign w:val="superscript"/>
        </w:rPr>
        <w:t>11</w:t>
      </w:r>
      <w:r w:rsidRPr="00BA76EA">
        <w:rPr>
          <w:rFonts w:ascii="Times New Roman" w:hAnsi="Times New Roman" w:cs="Times New Roman"/>
          <w:sz w:val="22"/>
          <w:szCs w:val="22"/>
        </w:rPr>
        <w:t>.</w:t>
      </w:r>
    </w:p>
    <w:p w14:paraId="10D1DC53" w14:textId="5DFE1E50" w:rsidR="00CA070A" w:rsidRPr="00BA76EA" w:rsidRDefault="00CA070A" w:rsidP="00BA76EA">
      <w:pPr>
        <w:rPr>
          <w:rFonts w:ascii="Times New Roman" w:hAnsi="Times New Roman" w:cs="Times New Roman"/>
          <w:sz w:val="22"/>
          <w:szCs w:val="22"/>
        </w:rPr>
      </w:pPr>
    </w:p>
    <w:p w14:paraId="0E00C2CA" w14:textId="6B671855" w:rsidR="00473718" w:rsidRPr="00BA76EA" w:rsidRDefault="00CA070A" w:rsidP="00BA76EA">
      <w:pPr>
        <w:rPr>
          <w:rFonts w:ascii="Times New Roman" w:hAnsi="Times New Roman" w:cs="Times New Roman"/>
          <w:sz w:val="22"/>
          <w:szCs w:val="22"/>
        </w:rPr>
      </w:pPr>
      <w:r w:rsidRPr="00BA76EA">
        <w:rPr>
          <w:rFonts w:ascii="Times New Roman" w:hAnsi="Times New Roman" w:cs="Times New Roman"/>
          <w:sz w:val="22"/>
          <w:szCs w:val="22"/>
        </w:rPr>
        <w:t>Green and Kerr (2014)</w:t>
      </w:r>
      <w:r w:rsidR="003A5425" w:rsidRPr="00BA76EA">
        <w:rPr>
          <w:rFonts w:ascii="Times New Roman" w:hAnsi="Times New Roman" w:cs="Times New Roman"/>
          <w:sz w:val="22"/>
          <w:szCs w:val="22"/>
        </w:rPr>
        <w:t xml:space="preserve"> explored whether epigenetics had an effect on </w:t>
      </w:r>
      <w:r w:rsidR="00C172F6" w:rsidRPr="00BA76EA">
        <w:rPr>
          <w:rFonts w:ascii="Times New Roman" w:hAnsi="Times New Roman" w:cs="Times New Roman"/>
          <w:sz w:val="22"/>
          <w:szCs w:val="22"/>
        </w:rPr>
        <w:t xml:space="preserve">gene expression when bovine </w:t>
      </w:r>
      <w:r w:rsidR="00473718" w:rsidRPr="00BA76EA">
        <w:rPr>
          <w:rFonts w:ascii="Times New Roman" w:hAnsi="Times New Roman" w:cs="Times New Roman"/>
          <w:sz w:val="22"/>
          <w:szCs w:val="22"/>
        </w:rPr>
        <w:t xml:space="preserve">dermal </w:t>
      </w:r>
      <w:r w:rsidR="00C172F6" w:rsidRPr="00BA76EA">
        <w:rPr>
          <w:rFonts w:ascii="Times New Roman" w:hAnsi="Times New Roman" w:cs="Times New Roman"/>
          <w:sz w:val="22"/>
          <w:szCs w:val="22"/>
        </w:rPr>
        <w:t>fibroblasts were exposed to LPS</w:t>
      </w:r>
      <w:r w:rsidR="00C172F6" w:rsidRPr="00BA76EA">
        <w:rPr>
          <w:rFonts w:ascii="Times New Roman" w:hAnsi="Times New Roman" w:cs="Times New Roman"/>
          <w:sz w:val="22"/>
          <w:szCs w:val="22"/>
          <w:vertAlign w:val="superscript"/>
        </w:rPr>
        <w:t>10</w:t>
      </w:r>
      <w:r w:rsidR="00C172F6" w:rsidRPr="00BA76EA">
        <w:rPr>
          <w:rFonts w:ascii="Times New Roman" w:hAnsi="Times New Roman" w:cs="Times New Roman"/>
          <w:sz w:val="22"/>
          <w:szCs w:val="22"/>
        </w:rPr>
        <w:t>. In order to investigate this,</w:t>
      </w:r>
      <w:r w:rsidR="00473718" w:rsidRPr="00BA76EA">
        <w:rPr>
          <w:rFonts w:ascii="Times New Roman" w:hAnsi="Times New Roman" w:cs="Times New Roman"/>
          <w:sz w:val="22"/>
          <w:szCs w:val="22"/>
        </w:rPr>
        <w:t xml:space="preserve"> fibroblasts were categorized based on the mount of IL-8 they produced after LPS exposure: high responder or low responder. The cells were exposed to 5-aza-2’deoxycytidine, an artificial demethylating agent, and the amount of LPS-induced IL-8 expression was measured</w:t>
      </w:r>
      <w:r w:rsidR="00C1637E" w:rsidRPr="00BA76EA">
        <w:rPr>
          <w:rFonts w:ascii="Times New Roman" w:hAnsi="Times New Roman" w:cs="Times New Roman"/>
          <w:sz w:val="22"/>
          <w:szCs w:val="22"/>
          <w:vertAlign w:val="superscript"/>
        </w:rPr>
        <w:t>10</w:t>
      </w:r>
      <w:r w:rsidR="00473718" w:rsidRPr="00BA76EA">
        <w:rPr>
          <w:rFonts w:ascii="Times New Roman" w:hAnsi="Times New Roman" w:cs="Times New Roman"/>
          <w:sz w:val="22"/>
          <w:szCs w:val="22"/>
        </w:rPr>
        <w:t>. With no artificial demethylation, there was a significant difference between the gene expression seen in low responders compared to high responders. The demethylation caused less of a difference in the IL-8 levels present</w:t>
      </w:r>
      <w:r w:rsidR="00C1637E" w:rsidRPr="00BA76EA">
        <w:rPr>
          <w:rFonts w:ascii="Times New Roman" w:hAnsi="Times New Roman" w:cs="Times New Roman"/>
          <w:sz w:val="22"/>
          <w:szCs w:val="22"/>
          <w:vertAlign w:val="superscript"/>
        </w:rPr>
        <w:t>10</w:t>
      </w:r>
      <w:r w:rsidR="00473718" w:rsidRPr="00BA76EA">
        <w:rPr>
          <w:rFonts w:ascii="Times New Roman" w:hAnsi="Times New Roman" w:cs="Times New Roman"/>
          <w:sz w:val="22"/>
          <w:szCs w:val="22"/>
        </w:rPr>
        <w:t>. Accordingly, Green and Kerr (2014) concluded that epigenetics affected the increase in expression</w:t>
      </w:r>
      <w:r w:rsidR="00C1637E" w:rsidRPr="00BA76EA">
        <w:rPr>
          <w:rFonts w:ascii="Times New Roman" w:hAnsi="Times New Roman" w:cs="Times New Roman"/>
          <w:sz w:val="22"/>
          <w:szCs w:val="22"/>
        </w:rPr>
        <w:t xml:space="preserve"> due to the absence of differences in IL-8 levels in high responding versus low responding fibroblasts.</w:t>
      </w:r>
      <w:r w:rsidR="00473718" w:rsidRPr="00BA76EA">
        <w:rPr>
          <w:rFonts w:ascii="Times New Roman" w:hAnsi="Times New Roman" w:cs="Times New Roman"/>
          <w:sz w:val="22"/>
          <w:szCs w:val="22"/>
        </w:rPr>
        <w:t xml:space="preserve"> </w:t>
      </w:r>
      <w:r w:rsidR="00C1637E" w:rsidRPr="00BA76EA">
        <w:rPr>
          <w:rFonts w:ascii="Times New Roman" w:hAnsi="Times New Roman" w:cs="Times New Roman"/>
          <w:sz w:val="22"/>
          <w:szCs w:val="22"/>
        </w:rPr>
        <w:t>Green and Kerr (2014) did not investigate the specific areas of the gene that might have been affected by changes in epigenetics.</w:t>
      </w:r>
    </w:p>
    <w:p w14:paraId="6D1D73CE" w14:textId="1DF09AA7" w:rsidR="00C1637E" w:rsidRPr="00BA76EA" w:rsidRDefault="00C1637E" w:rsidP="00BA76EA">
      <w:pPr>
        <w:rPr>
          <w:rFonts w:ascii="Times New Roman" w:hAnsi="Times New Roman" w:cs="Times New Roman"/>
          <w:sz w:val="22"/>
          <w:szCs w:val="22"/>
        </w:rPr>
      </w:pPr>
    </w:p>
    <w:p w14:paraId="00161276" w14:textId="38B22E78" w:rsidR="00E658AC" w:rsidRPr="00BA76EA" w:rsidRDefault="002D33A0" w:rsidP="00BA76EA">
      <w:pPr>
        <w:rPr>
          <w:rFonts w:ascii="Times New Roman" w:hAnsi="Times New Roman" w:cs="Times New Roman"/>
          <w:sz w:val="22"/>
          <w:szCs w:val="22"/>
        </w:rPr>
      </w:pPr>
      <w:r w:rsidRPr="00BA76EA">
        <w:rPr>
          <w:rFonts w:ascii="Times New Roman" w:hAnsi="Times New Roman" w:cs="Times New Roman"/>
          <w:sz w:val="22"/>
          <w:szCs w:val="22"/>
        </w:rPr>
        <w:t>As a result of the study conducted by Green and Kerr (2014), it was established that there is some correlation between DNA methylation and the fibroblast response to LPS in chronic wounds Specifically, the CXCL-8 gene, which produces IL-8, could be hypomethylated which would lead to the difference in fibroblast response when exposed to LPS. IL-8 is a proinflammatory cytokine, therefore the prolonged inflammatory response seen in chronic wound might be due to permanent hypomethylation of the CXCL-8 gene. The purpose of this experiment is to test if the epigenetic modification of hypomethylation to the CXCL-8 gene is permanent in fibroblasts exposed to LPS.</w:t>
      </w:r>
    </w:p>
    <w:p w14:paraId="26AD74E2" w14:textId="6769B9EC" w:rsidR="00624E54" w:rsidRPr="00BA76EA" w:rsidRDefault="00624E54" w:rsidP="00BA76EA">
      <w:pPr>
        <w:rPr>
          <w:rFonts w:ascii="Times New Roman" w:hAnsi="Times New Roman" w:cs="Times New Roman"/>
          <w:sz w:val="22"/>
          <w:szCs w:val="22"/>
        </w:rPr>
      </w:pPr>
    </w:p>
    <w:p w14:paraId="5E0E78EF" w14:textId="2B34D2C3" w:rsidR="00624E54" w:rsidRPr="00BA76EA" w:rsidRDefault="00624E54" w:rsidP="00BA76EA">
      <w:pPr>
        <w:rPr>
          <w:rFonts w:ascii="Times New Roman" w:hAnsi="Times New Roman" w:cs="Times New Roman"/>
          <w:b/>
          <w:bCs/>
          <w:sz w:val="22"/>
          <w:szCs w:val="22"/>
        </w:rPr>
      </w:pPr>
      <w:r w:rsidRPr="00BA76EA">
        <w:rPr>
          <w:rFonts w:ascii="Times New Roman" w:hAnsi="Times New Roman" w:cs="Times New Roman"/>
          <w:b/>
          <w:bCs/>
          <w:sz w:val="22"/>
          <w:szCs w:val="22"/>
        </w:rPr>
        <w:t>II. Experiment</w:t>
      </w:r>
    </w:p>
    <w:p w14:paraId="24863F75" w14:textId="4D3D4352" w:rsidR="00624E54" w:rsidRPr="00BA76EA" w:rsidRDefault="00624E54" w:rsidP="00BA76EA">
      <w:pPr>
        <w:rPr>
          <w:rFonts w:ascii="Times New Roman" w:hAnsi="Times New Roman" w:cs="Times New Roman"/>
          <w:b/>
          <w:bCs/>
          <w:sz w:val="22"/>
          <w:szCs w:val="22"/>
        </w:rPr>
      </w:pPr>
    </w:p>
    <w:p w14:paraId="19D80F26" w14:textId="54142C48" w:rsidR="00470924" w:rsidRPr="00BA76EA" w:rsidRDefault="00624E54" w:rsidP="00BA76EA">
      <w:pPr>
        <w:rPr>
          <w:rFonts w:ascii="Times New Roman" w:hAnsi="Times New Roman" w:cs="Times New Roman"/>
          <w:sz w:val="22"/>
          <w:szCs w:val="22"/>
        </w:rPr>
      </w:pPr>
      <w:r w:rsidRPr="00BA76EA">
        <w:rPr>
          <w:rFonts w:ascii="Times New Roman" w:hAnsi="Times New Roman" w:cs="Times New Roman"/>
          <w:sz w:val="22"/>
          <w:szCs w:val="22"/>
        </w:rPr>
        <w:t>The aim of this experiment is to determine whether</w:t>
      </w:r>
      <w:r w:rsidR="00470924" w:rsidRPr="00BA76EA">
        <w:rPr>
          <w:rFonts w:ascii="Times New Roman" w:hAnsi="Times New Roman" w:cs="Times New Roman"/>
          <w:sz w:val="22"/>
          <w:szCs w:val="22"/>
        </w:rPr>
        <w:t xml:space="preserve"> there is permanent</w:t>
      </w:r>
      <w:r w:rsidRPr="00BA76EA">
        <w:rPr>
          <w:rFonts w:ascii="Times New Roman" w:hAnsi="Times New Roman" w:cs="Times New Roman"/>
          <w:sz w:val="22"/>
          <w:szCs w:val="22"/>
        </w:rPr>
        <w:t xml:space="preserve"> hypomethylation </w:t>
      </w:r>
      <w:r w:rsidR="00470924" w:rsidRPr="00BA76EA">
        <w:rPr>
          <w:rFonts w:ascii="Times New Roman" w:hAnsi="Times New Roman" w:cs="Times New Roman"/>
          <w:sz w:val="22"/>
          <w:szCs w:val="22"/>
        </w:rPr>
        <w:t>of proinflammatory cytokine genes such as CXCL-8 causes the prolonged inflammatory stage seen in chronic wounds when fibroblasts are exposed to LPS. If there is permanent hypomethylation of the CXCL-8 gene, then there should be detectable differences in methylation patterns when comparing normal, acute wound fibroblasts to chronic wound fibroblasts.</w:t>
      </w:r>
    </w:p>
    <w:p w14:paraId="24F3A5FE" w14:textId="3233C0F7" w:rsidR="00F87474" w:rsidRPr="00BA76EA" w:rsidRDefault="00F87474" w:rsidP="00BA76EA">
      <w:pPr>
        <w:rPr>
          <w:rFonts w:ascii="Times New Roman" w:hAnsi="Times New Roman" w:cs="Times New Roman"/>
          <w:sz w:val="22"/>
          <w:szCs w:val="22"/>
        </w:rPr>
      </w:pPr>
    </w:p>
    <w:p w14:paraId="067E8658" w14:textId="3FF34521" w:rsidR="00F87474" w:rsidRPr="00BA76EA" w:rsidRDefault="00F87474" w:rsidP="00BA76EA">
      <w:pPr>
        <w:rPr>
          <w:rFonts w:ascii="Times New Roman" w:hAnsi="Times New Roman" w:cs="Times New Roman"/>
          <w:sz w:val="22"/>
          <w:szCs w:val="22"/>
        </w:rPr>
      </w:pPr>
      <w:r w:rsidRPr="00BA76EA">
        <w:rPr>
          <w:rFonts w:ascii="Times New Roman" w:hAnsi="Times New Roman" w:cs="Times New Roman"/>
          <w:sz w:val="22"/>
          <w:szCs w:val="22"/>
        </w:rPr>
        <w:t>II. A. Obtaining Samples</w:t>
      </w:r>
      <w:r w:rsidR="005D43BB" w:rsidRPr="00BA76EA">
        <w:rPr>
          <w:rFonts w:ascii="Times New Roman" w:hAnsi="Times New Roman" w:cs="Times New Roman"/>
          <w:sz w:val="22"/>
          <w:szCs w:val="22"/>
        </w:rPr>
        <w:t xml:space="preserve">, </w:t>
      </w:r>
      <w:r w:rsidRPr="00BA76EA">
        <w:rPr>
          <w:rFonts w:ascii="Times New Roman" w:hAnsi="Times New Roman" w:cs="Times New Roman"/>
          <w:sz w:val="22"/>
          <w:szCs w:val="22"/>
        </w:rPr>
        <w:t>Isolating Fibroblasts</w:t>
      </w:r>
      <w:r w:rsidR="005D43BB" w:rsidRPr="00BA76EA">
        <w:rPr>
          <w:rFonts w:ascii="Times New Roman" w:hAnsi="Times New Roman" w:cs="Times New Roman"/>
          <w:sz w:val="22"/>
          <w:szCs w:val="22"/>
        </w:rPr>
        <w:t>, and Exposing to LPS</w:t>
      </w:r>
    </w:p>
    <w:p w14:paraId="40FC2355" w14:textId="14D7B05A" w:rsidR="00A06559" w:rsidRPr="00BA76EA" w:rsidRDefault="00A06559" w:rsidP="00BA76EA">
      <w:pPr>
        <w:rPr>
          <w:rFonts w:ascii="Times New Roman" w:hAnsi="Times New Roman" w:cs="Times New Roman"/>
          <w:sz w:val="22"/>
          <w:szCs w:val="22"/>
        </w:rPr>
      </w:pPr>
    </w:p>
    <w:p w14:paraId="06B2C67C" w14:textId="77777777" w:rsidR="00972CE8" w:rsidRPr="00BA76EA" w:rsidRDefault="00EF45B3" w:rsidP="00BA76EA">
      <w:pPr>
        <w:rPr>
          <w:rFonts w:ascii="Times New Roman" w:hAnsi="Times New Roman" w:cs="Times New Roman"/>
          <w:sz w:val="22"/>
          <w:szCs w:val="22"/>
        </w:rPr>
      </w:pPr>
      <w:r w:rsidRPr="00BA76EA">
        <w:rPr>
          <w:rFonts w:ascii="Times New Roman" w:hAnsi="Times New Roman" w:cs="Times New Roman"/>
          <w:sz w:val="22"/>
          <w:szCs w:val="22"/>
        </w:rPr>
        <w:t>Tissue biopsies will be taken from patients exhibiting chronic wounds and from patients exhibiting normal, acute wounds. Panuncialman et al. (2010) investigated whether this invasive procedure would be detrimental to the healing of chronic wounds and determined that the biopsy sites healed quickly and did not affect the healing process of the wound</w:t>
      </w:r>
      <w:r w:rsidRPr="00BA76EA">
        <w:rPr>
          <w:rFonts w:ascii="Times New Roman" w:hAnsi="Times New Roman" w:cs="Times New Roman"/>
          <w:sz w:val="22"/>
          <w:szCs w:val="22"/>
          <w:vertAlign w:val="superscript"/>
        </w:rPr>
        <w:t>12</w:t>
      </w:r>
      <w:r w:rsidRPr="00BA76EA">
        <w:rPr>
          <w:rFonts w:ascii="Times New Roman" w:hAnsi="Times New Roman" w:cs="Times New Roman"/>
          <w:sz w:val="22"/>
          <w:szCs w:val="22"/>
        </w:rPr>
        <w:t>. Patients could undergo the tissue biopsy if the chronic wound lasted for greater than 3 months. Patients would be excluded from the study if they had diabetes</w:t>
      </w:r>
      <w:r w:rsidR="007D0F9F" w:rsidRPr="00BA76EA">
        <w:rPr>
          <w:rFonts w:ascii="Times New Roman" w:hAnsi="Times New Roman" w:cs="Times New Roman"/>
          <w:sz w:val="22"/>
          <w:szCs w:val="22"/>
        </w:rPr>
        <w:t xml:space="preserve"> or </w:t>
      </w:r>
      <w:r w:rsidRPr="00BA76EA">
        <w:rPr>
          <w:rFonts w:ascii="Times New Roman" w:hAnsi="Times New Roman" w:cs="Times New Roman"/>
          <w:sz w:val="22"/>
          <w:szCs w:val="22"/>
        </w:rPr>
        <w:t>were on immunosuppressive medication</w:t>
      </w:r>
      <w:r w:rsidR="007D0F9F" w:rsidRPr="00BA76EA">
        <w:rPr>
          <w:rFonts w:ascii="Times New Roman" w:hAnsi="Times New Roman" w:cs="Times New Roman"/>
          <w:sz w:val="22"/>
          <w:szCs w:val="22"/>
        </w:rPr>
        <w:t xml:space="preserve"> as these factors could put the patient at high risk and would interfere with the inflammatory process</w:t>
      </w:r>
      <w:r w:rsidR="00972CE8" w:rsidRPr="00BA76EA">
        <w:rPr>
          <w:rFonts w:ascii="Times New Roman" w:hAnsi="Times New Roman" w:cs="Times New Roman"/>
          <w:sz w:val="22"/>
          <w:szCs w:val="22"/>
          <w:vertAlign w:val="superscript"/>
        </w:rPr>
        <w:t>13</w:t>
      </w:r>
      <w:r w:rsidR="00972CE8" w:rsidRPr="00BA76EA">
        <w:rPr>
          <w:rFonts w:ascii="Times New Roman" w:hAnsi="Times New Roman" w:cs="Times New Roman"/>
          <w:sz w:val="22"/>
          <w:szCs w:val="22"/>
        </w:rPr>
        <w:t>.</w:t>
      </w:r>
    </w:p>
    <w:p w14:paraId="15AAA279" w14:textId="77777777" w:rsidR="00972CE8" w:rsidRPr="00BA76EA" w:rsidRDefault="00972CE8" w:rsidP="00BA76EA">
      <w:pPr>
        <w:rPr>
          <w:rFonts w:ascii="Times New Roman" w:hAnsi="Times New Roman" w:cs="Times New Roman"/>
          <w:sz w:val="22"/>
          <w:szCs w:val="22"/>
        </w:rPr>
      </w:pPr>
    </w:p>
    <w:p w14:paraId="3243446D" w14:textId="170FAC8D" w:rsidR="00304030" w:rsidRPr="00BA76EA" w:rsidRDefault="00972CE8" w:rsidP="00BA76EA">
      <w:pPr>
        <w:rPr>
          <w:rFonts w:ascii="Times New Roman" w:hAnsi="Times New Roman" w:cs="Times New Roman"/>
          <w:sz w:val="22"/>
          <w:szCs w:val="22"/>
        </w:rPr>
      </w:pPr>
      <w:r w:rsidRPr="00BA76EA">
        <w:rPr>
          <w:rFonts w:ascii="Times New Roman" w:hAnsi="Times New Roman" w:cs="Times New Roman"/>
          <w:sz w:val="22"/>
          <w:szCs w:val="22"/>
        </w:rPr>
        <w:lastRenderedPageBreak/>
        <w:t>In order to isolate the fibroblasts, the dermal layer has to be separated from the epidermal layer. In order to do this, Dispase II should be added to the samples. This is a protease that hydrolyzes the N-terminus of non-polar amino acids, specifically at Leucine-Phenylalanine bonds and it targets collagen present in the epidermis</w:t>
      </w:r>
      <w:r w:rsidRPr="00BA76EA">
        <w:rPr>
          <w:rFonts w:ascii="Times New Roman" w:hAnsi="Times New Roman" w:cs="Times New Roman"/>
          <w:sz w:val="22"/>
          <w:szCs w:val="22"/>
          <w:vertAlign w:val="superscript"/>
        </w:rPr>
        <w:t>14</w:t>
      </w:r>
      <w:r w:rsidRPr="00BA76EA">
        <w:rPr>
          <w:rFonts w:ascii="Times New Roman" w:hAnsi="Times New Roman" w:cs="Times New Roman"/>
          <w:sz w:val="22"/>
          <w:szCs w:val="22"/>
        </w:rPr>
        <w:t xml:space="preserve">. </w:t>
      </w:r>
      <w:r w:rsidR="00027709" w:rsidRPr="00BA76EA">
        <w:rPr>
          <w:rFonts w:ascii="Times New Roman" w:hAnsi="Times New Roman" w:cs="Times New Roman"/>
          <w:sz w:val="22"/>
          <w:szCs w:val="22"/>
        </w:rPr>
        <w:t xml:space="preserve">Following this separation, the dermal layer samples will be digested using crude collagenase. This is a mixture of enzymes </w:t>
      </w:r>
      <w:r w:rsidR="00A97E44" w:rsidRPr="00BA76EA">
        <w:rPr>
          <w:rFonts w:ascii="Times New Roman" w:hAnsi="Times New Roman" w:cs="Times New Roman"/>
          <w:sz w:val="22"/>
          <w:szCs w:val="22"/>
        </w:rPr>
        <w:t>that cleaves the peptides in collagen thus releasing cells such as fibroblasts embedded in the extracellular matrix</w:t>
      </w:r>
      <w:r w:rsidR="00A97E44" w:rsidRPr="00BA76EA">
        <w:rPr>
          <w:rFonts w:ascii="Times New Roman" w:hAnsi="Times New Roman" w:cs="Times New Roman"/>
          <w:sz w:val="22"/>
          <w:szCs w:val="22"/>
          <w:vertAlign w:val="superscript"/>
        </w:rPr>
        <w:t>15, 16</w:t>
      </w:r>
      <w:r w:rsidR="00A97E44" w:rsidRPr="00BA76EA">
        <w:rPr>
          <w:rFonts w:ascii="Times New Roman" w:hAnsi="Times New Roman" w:cs="Times New Roman"/>
          <w:sz w:val="22"/>
          <w:szCs w:val="22"/>
        </w:rPr>
        <w:t>. The released cells will be plated on a tissue culture plate</w:t>
      </w:r>
      <w:r w:rsidR="00416836" w:rsidRPr="00BA76EA">
        <w:rPr>
          <w:rFonts w:ascii="Times New Roman" w:hAnsi="Times New Roman" w:cs="Times New Roman"/>
          <w:sz w:val="22"/>
          <w:szCs w:val="22"/>
        </w:rPr>
        <w:t xml:space="preserve">. Following 24 hours, the plates will be washed with phosphate buffered saline </w:t>
      </w:r>
      <w:r w:rsidR="00304030" w:rsidRPr="00BA76EA">
        <w:rPr>
          <w:rFonts w:ascii="Times New Roman" w:hAnsi="Times New Roman" w:cs="Times New Roman"/>
          <w:sz w:val="22"/>
          <w:szCs w:val="22"/>
        </w:rPr>
        <w:t>to eliminate cells that did not adhere to the plates. The adherent cells, which are the fibroblasts, will be grown and cultured. Pandamooz et al. (2012) investigated the ideal method in which to isolate fibroblasts, therefore their protocol is what will be used for this experiment</w:t>
      </w:r>
      <w:r w:rsidR="00304030" w:rsidRPr="00BA76EA">
        <w:rPr>
          <w:rFonts w:ascii="Times New Roman" w:hAnsi="Times New Roman" w:cs="Times New Roman"/>
          <w:sz w:val="22"/>
          <w:szCs w:val="22"/>
          <w:vertAlign w:val="superscript"/>
        </w:rPr>
        <w:t>17</w:t>
      </w:r>
      <w:r w:rsidR="00304030" w:rsidRPr="00BA76EA">
        <w:rPr>
          <w:rFonts w:ascii="Times New Roman" w:hAnsi="Times New Roman" w:cs="Times New Roman"/>
          <w:sz w:val="22"/>
          <w:szCs w:val="22"/>
        </w:rPr>
        <w:t>.</w:t>
      </w:r>
    </w:p>
    <w:p w14:paraId="6EB44569" w14:textId="77777777" w:rsidR="005D43BB" w:rsidRPr="00BA76EA" w:rsidRDefault="005D43BB" w:rsidP="00BA76EA">
      <w:pPr>
        <w:rPr>
          <w:rFonts w:ascii="Times New Roman" w:hAnsi="Times New Roman" w:cs="Times New Roman"/>
          <w:sz w:val="22"/>
          <w:szCs w:val="22"/>
        </w:rPr>
      </w:pPr>
    </w:p>
    <w:p w14:paraId="06BA7236" w14:textId="1EA64089" w:rsidR="00A06559" w:rsidRPr="00BA76EA" w:rsidRDefault="00F13FE3" w:rsidP="00BA76EA">
      <w:pPr>
        <w:rPr>
          <w:rFonts w:ascii="Times New Roman" w:hAnsi="Times New Roman" w:cs="Times New Roman"/>
          <w:sz w:val="22"/>
          <w:szCs w:val="22"/>
        </w:rPr>
      </w:pPr>
      <w:r w:rsidRPr="00BA76EA">
        <w:rPr>
          <w:rFonts w:ascii="Times New Roman" w:hAnsi="Times New Roman" w:cs="Times New Roman"/>
          <w:sz w:val="22"/>
          <w:szCs w:val="22"/>
        </w:rPr>
        <w:t>Isolated fibroblasts will be exposed to an LPS treatment for 24 hours, 48 hours, and 72 hours. By varying the amount of time fibroblasts are exposed to LPS, it can be determined whether epigenetic modifications are permanent</w:t>
      </w:r>
      <w:r w:rsidR="006348C4" w:rsidRPr="00BA76EA">
        <w:rPr>
          <w:rFonts w:ascii="Times New Roman" w:hAnsi="Times New Roman" w:cs="Times New Roman"/>
          <w:sz w:val="22"/>
          <w:szCs w:val="22"/>
        </w:rPr>
        <w:t xml:space="preserve"> by comparing the bands present following MS-PCR</w:t>
      </w:r>
      <w:r w:rsidRPr="00BA76EA">
        <w:rPr>
          <w:rFonts w:ascii="Times New Roman" w:hAnsi="Times New Roman" w:cs="Times New Roman"/>
          <w:sz w:val="22"/>
          <w:szCs w:val="22"/>
        </w:rPr>
        <w:t>. The LPS treatment will be growth media accompanied by LPS of Escherichia coli O111.B4 obtained from Sigma-Aldrich</w:t>
      </w:r>
      <w:r w:rsidR="004D79AE" w:rsidRPr="00BA76EA">
        <w:rPr>
          <w:rFonts w:ascii="Times New Roman" w:hAnsi="Times New Roman" w:cs="Times New Roman"/>
          <w:sz w:val="22"/>
          <w:szCs w:val="22"/>
          <w:vertAlign w:val="superscript"/>
        </w:rPr>
        <w:t>18</w:t>
      </w:r>
      <w:r w:rsidRPr="00BA76EA">
        <w:rPr>
          <w:rFonts w:ascii="Times New Roman" w:hAnsi="Times New Roman" w:cs="Times New Roman"/>
          <w:sz w:val="22"/>
          <w:szCs w:val="22"/>
        </w:rPr>
        <w:t>.</w:t>
      </w:r>
      <w:r w:rsidR="00972CE8" w:rsidRPr="00BA76EA">
        <w:rPr>
          <w:rFonts w:ascii="Times New Roman" w:hAnsi="Times New Roman" w:cs="Times New Roman"/>
          <w:sz w:val="22"/>
          <w:szCs w:val="22"/>
        </w:rPr>
        <w:t xml:space="preserve"> </w:t>
      </w:r>
      <w:r w:rsidR="005D43BB" w:rsidRPr="00BA76EA">
        <w:rPr>
          <w:rFonts w:ascii="Times New Roman" w:hAnsi="Times New Roman" w:cs="Times New Roman"/>
          <w:sz w:val="22"/>
          <w:szCs w:val="22"/>
        </w:rPr>
        <w:t>This LPS exposure protocol was used by Green and Kerr (2014)</w:t>
      </w:r>
      <w:r w:rsidR="005D43BB" w:rsidRPr="00BA76EA">
        <w:rPr>
          <w:rFonts w:ascii="Times New Roman" w:hAnsi="Times New Roman" w:cs="Times New Roman"/>
          <w:sz w:val="22"/>
          <w:szCs w:val="22"/>
          <w:vertAlign w:val="superscript"/>
        </w:rPr>
        <w:t>10</w:t>
      </w:r>
      <w:r w:rsidR="005D43BB" w:rsidRPr="00BA76EA">
        <w:rPr>
          <w:rFonts w:ascii="Times New Roman" w:hAnsi="Times New Roman" w:cs="Times New Roman"/>
          <w:sz w:val="22"/>
          <w:szCs w:val="22"/>
        </w:rPr>
        <w:t>.</w:t>
      </w:r>
    </w:p>
    <w:p w14:paraId="13BA16C8" w14:textId="6508A87B" w:rsidR="00F87474" w:rsidRPr="00BA76EA" w:rsidRDefault="00F87474" w:rsidP="00BA76EA">
      <w:pPr>
        <w:rPr>
          <w:rFonts w:ascii="Times New Roman" w:hAnsi="Times New Roman" w:cs="Times New Roman"/>
          <w:sz w:val="22"/>
          <w:szCs w:val="22"/>
        </w:rPr>
      </w:pPr>
    </w:p>
    <w:p w14:paraId="18346EDF" w14:textId="275B3DDC" w:rsidR="00F87474" w:rsidRPr="00BA76EA" w:rsidRDefault="00F87474" w:rsidP="00BA76EA">
      <w:pPr>
        <w:rPr>
          <w:rFonts w:ascii="Times New Roman" w:hAnsi="Times New Roman" w:cs="Times New Roman"/>
          <w:sz w:val="22"/>
          <w:szCs w:val="22"/>
        </w:rPr>
      </w:pPr>
      <w:r w:rsidRPr="00BA76EA">
        <w:rPr>
          <w:rFonts w:ascii="Times New Roman" w:hAnsi="Times New Roman" w:cs="Times New Roman"/>
          <w:sz w:val="22"/>
          <w:szCs w:val="22"/>
        </w:rPr>
        <w:t xml:space="preserve">II. B. </w:t>
      </w:r>
      <w:r w:rsidR="005D43BB" w:rsidRPr="00BA76EA">
        <w:rPr>
          <w:rFonts w:ascii="Times New Roman" w:hAnsi="Times New Roman" w:cs="Times New Roman"/>
          <w:sz w:val="22"/>
          <w:szCs w:val="22"/>
        </w:rPr>
        <w:t xml:space="preserve">DNA Extraction and </w:t>
      </w:r>
      <w:r w:rsidRPr="00BA76EA">
        <w:rPr>
          <w:rFonts w:ascii="Times New Roman" w:hAnsi="Times New Roman" w:cs="Times New Roman"/>
          <w:sz w:val="22"/>
          <w:szCs w:val="22"/>
        </w:rPr>
        <w:t>Bisul</w:t>
      </w:r>
      <w:r w:rsidR="005B11E4" w:rsidRPr="00BA76EA">
        <w:rPr>
          <w:rFonts w:ascii="Times New Roman" w:hAnsi="Times New Roman" w:cs="Times New Roman"/>
          <w:sz w:val="22"/>
          <w:szCs w:val="22"/>
        </w:rPr>
        <w:t>ph</w:t>
      </w:r>
      <w:r w:rsidRPr="00BA76EA">
        <w:rPr>
          <w:rFonts w:ascii="Times New Roman" w:hAnsi="Times New Roman" w:cs="Times New Roman"/>
          <w:sz w:val="22"/>
          <w:szCs w:val="22"/>
        </w:rPr>
        <w:t>ite Conversion</w:t>
      </w:r>
    </w:p>
    <w:p w14:paraId="33625F7B" w14:textId="011A76BC" w:rsidR="005D43BB" w:rsidRPr="00BA76EA" w:rsidRDefault="005D43BB" w:rsidP="00BA76EA">
      <w:pPr>
        <w:rPr>
          <w:rFonts w:ascii="Times New Roman" w:hAnsi="Times New Roman" w:cs="Times New Roman"/>
          <w:sz w:val="22"/>
          <w:szCs w:val="22"/>
        </w:rPr>
      </w:pPr>
    </w:p>
    <w:p w14:paraId="6F49BE38" w14:textId="40129667" w:rsidR="00C83FDE" w:rsidRPr="00BA76EA" w:rsidRDefault="00976F34"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67456" behindDoc="0" locked="0" layoutInCell="1" allowOverlap="1" wp14:anchorId="3E594F28" wp14:editId="4808FF74">
                <wp:simplePos x="0" y="0"/>
                <wp:positionH relativeFrom="column">
                  <wp:posOffset>4159104</wp:posOffset>
                </wp:positionH>
                <wp:positionV relativeFrom="paragraph">
                  <wp:posOffset>3350080</wp:posOffset>
                </wp:positionV>
                <wp:extent cx="2031101" cy="817296"/>
                <wp:effectExtent l="0" t="0" r="13970" b="8255"/>
                <wp:wrapNone/>
                <wp:docPr id="9" name="Text Box 9"/>
                <wp:cNvGraphicFramePr/>
                <a:graphic xmlns:a="http://schemas.openxmlformats.org/drawingml/2006/main">
                  <a:graphicData uri="http://schemas.microsoft.com/office/word/2010/wordprocessingShape">
                    <wps:wsp>
                      <wps:cNvSpPr txBox="1"/>
                      <wps:spPr>
                        <a:xfrm>
                          <a:off x="0" y="0"/>
                          <a:ext cx="2031101" cy="817296"/>
                        </a:xfrm>
                        <a:prstGeom prst="rect">
                          <a:avLst/>
                        </a:prstGeom>
                        <a:solidFill>
                          <a:schemeClr val="lt1"/>
                        </a:solidFill>
                        <a:ln w="6350">
                          <a:solidFill>
                            <a:prstClr val="black"/>
                          </a:solidFill>
                        </a:ln>
                      </wps:spPr>
                      <wps:txbx>
                        <w:txbxContent>
                          <w:p w14:paraId="440AB834" w14:textId="13F8061F" w:rsidR="0001117E" w:rsidRPr="0001117E" w:rsidRDefault="0001117E">
                            <w:pPr>
                              <w:rPr>
                                <w:rFonts w:ascii="Times New Roman" w:hAnsi="Times New Roman" w:cs="Times New Roman"/>
                                <w:b/>
                                <w:bCs/>
                                <w:sz w:val="18"/>
                                <w:szCs w:val="18"/>
                              </w:rPr>
                            </w:pPr>
                            <w:r w:rsidRPr="0001117E">
                              <w:rPr>
                                <w:rFonts w:ascii="Times New Roman" w:hAnsi="Times New Roman" w:cs="Times New Roman"/>
                                <w:b/>
                                <w:bCs/>
                                <w:sz w:val="18"/>
                                <w:szCs w:val="18"/>
                              </w:rPr>
                              <w:t>Figure 4:</w:t>
                            </w:r>
                          </w:p>
                          <w:p w14:paraId="2D0F7F2C" w14:textId="69711B02" w:rsidR="0001117E" w:rsidRPr="0001117E" w:rsidRDefault="0001117E">
                            <w:pPr>
                              <w:rPr>
                                <w:rFonts w:ascii="Times New Roman" w:hAnsi="Times New Roman" w:cs="Times New Roman"/>
                                <w:sz w:val="18"/>
                                <w:szCs w:val="18"/>
                              </w:rPr>
                            </w:pPr>
                            <w:r w:rsidRPr="0001117E">
                              <w:rPr>
                                <w:rFonts w:ascii="Times New Roman" w:hAnsi="Times New Roman" w:cs="Times New Roman"/>
                                <w:sz w:val="18"/>
                                <w:szCs w:val="18"/>
                              </w:rPr>
                              <w:t xml:space="preserve">This shows the chemical reaction that occurs during bisulfite conversion to turn a cytosine into </w:t>
                            </w:r>
                            <w:r w:rsidR="000070B2" w:rsidRPr="0001117E">
                              <w:rPr>
                                <w:rFonts w:ascii="Times New Roman" w:hAnsi="Times New Roman" w:cs="Times New Roman"/>
                                <w:sz w:val="18"/>
                                <w:szCs w:val="18"/>
                              </w:rPr>
                              <w:t>an</w:t>
                            </w:r>
                            <w:r w:rsidRPr="0001117E">
                              <w:rPr>
                                <w:rFonts w:ascii="Times New Roman" w:hAnsi="Times New Roman" w:cs="Times New Roman"/>
                                <w:sz w:val="18"/>
                                <w:szCs w:val="18"/>
                              </w:rPr>
                              <w:t xml:space="preserve"> uracil without the present of a 5’-methyl group</w:t>
                            </w:r>
                            <w:r w:rsidRPr="0001117E">
                              <w:rPr>
                                <w:rFonts w:ascii="Times New Roman" w:hAnsi="Times New Roman" w:cs="Times New Roman"/>
                                <w:sz w:val="18"/>
                                <w:szCs w:val="18"/>
                                <w:vertAlign w:val="superscript"/>
                              </w:rPr>
                              <w:t>13</w:t>
                            </w:r>
                            <w:r w:rsidRPr="0001117E">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4F28" id="Text Box 9" o:spid="_x0000_s1028" type="#_x0000_t202" style="position:absolute;margin-left:327.5pt;margin-top:263.8pt;width:159.95pt;height:6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IcnUAIAAKgEAAAOAAAAZHJzL2Uyb0RvYy54bWysVE1v2zAMvQ/YfxB0X/zRNG2COEWWIsOA&#13;&#10;oi2QFD0rshwbk0VNUmJnv36UbKdpt9Owi0KRz0/kI5n5XVtLchTGVqAymoxiSoTikFdqn9GX7frL&#13;&#10;LSXWMZUzCUpk9CQsvVt8/jRv9EykUILMhSFIouys0RktndOzKLK8FDWzI9BCYbAAUzOHV7OPcsMa&#13;&#10;ZK9llMbxJGrA5NoAF9ai974L0kXgLwrB3VNRWOGIzCjm5sJpwrnzZ7SYs9neMF1WvE+D/UMWNasU&#13;&#10;PnqmumeOkYOp/qCqK27AQuFGHOoIiqLiItSA1STxh2o2JdMi1ILiWH2Wyf4/Wv54fDakyjM6pUSx&#13;&#10;Glu0Fa0jX6ElU69Oo+0MQRuNMNeiG7s8+C06fdFtYWr/i+UQjKPOp7O2noyjM42vkiROKOEYu01u&#13;&#10;0unE00RvX2tj3TcBNfFGRg32LkjKjg/WddAB4h+zIKt8XUkZLn5exEoacmTYaelCjkj+DiUVaTI6&#13;&#10;ubqOA/G7mKc+f7+TjP/o07tAIZ9UmLPXpKvdW67dtUHBdNBlB/kJ5TLQjZvVfF0h/QOz7pkZnC9U&#13;&#10;CHfGPeFRSMCcoLcoKcH8+pvf47HtGKWkwXnNqP15YEZQIr8rHIhpMh77AQ+X8fVNihdzGdldRtSh&#13;&#10;XgEKhf3A7ILp8U4OZmGgfsXVWvpXMcQUx7cz6gZz5botwtXkYrkMIBxpzdyD2mjuqX1jvKzb9pUZ&#13;&#10;3bfV4UA8wjDZbPahux3Wf6lgeXBQVKH1XudO1V5+XIcwPP3q+n27vAfU2x/M4jcAAAD//wMAUEsD&#13;&#10;BBQABgAIAAAAIQDp+t5L4wAAABABAAAPAAAAZHJzL2Rvd25yZXYueG1sTI/NTsMwEITvSLyDtUjc&#13;&#10;qEMhaZLGqfgpXDhREOdt7DoWsR3Zbhrenu0JLiutZnZ2vmYz24FNKkTjnYDbRQZMuc5L47SAz4+X&#13;&#10;mxJYTOgkDt4pAT8qwqa9vGiwlv7k3tW0S5pRiIs1CuhTGmvOY9cri3HhR+VIO/hgMdEaNJcBTxRu&#13;&#10;B77MsoJbNI4+9Diqp15137ujFbB91JXuSgz9tpTGTPPX4U2/CnF9NT+vaTysgSU1p78LODNQf2ip&#13;&#10;2N4fnYxsEFDkOQElAflyVQAjR7W6r4Dtz1JxB7xt+H+Q9hcAAP//AwBQSwECLQAUAAYACAAAACEA&#13;&#10;toM4kv4AAADhAQAAEwAAAAAAAAAAAAAAAAAAAAAAW0NvbnRlbnRfVHlwZXNdLnhtbFBLAQItABQA&#13;&#10;BgAIAAAAIQA4/SH/1gAAAJQBAAALAAAAAAAAAAAAAAAAAC8BAABfcmVscy8ucmVsc1BLAQItABQA&#13;&#10;BgAIAAAAIQDTxIcnUAIAAKgEAAAOAAAAAAAAAAAAAAAAAC4CAABkcnMvZTJvRG9jLnhtbFBLAQIt&#13;&#10;ABQABgAIAAAAIQDp+t5L4wAAABABAAAPAAAAAAAAAAAAAAAAAKoEAABkcnMvZG93bnJldi54bWxQ&#13;&#10;SwUGAAAAAAQABADzAAAAugUAAAAA&#13;&#10;" fillcolor="white [3201]" strokeweight=".5pt">
                <v:textbox>
                  <w:txbxContent>
                    <w:p w14:paraId="440AB834" w14:textId="13F8061F" w:rsidR="0001117E" w:rsidRPr="0001117E" w:rsidRDefault="0001117E">
                      <w:pPr>
                        <w:rPr>
                          <w:rFonts w:ascii="Times New Roman" w:hAnsi="Times New Roman" w:cs="Times New Roman"/>
                          <w:b/>
                          <w:bCs/>
                          <w:sz w:val="18"/>
                          <w:szCs w:val="18"/>
                        </w:rPr>
                      </w:pPr>
                      <w:r w:rsidRPr="0001117E">
                        <w:rPr>
                          <w:rFonts w:ascii="Times New Roman" w:hAnsi="Times New Roman" w:cs="Times New Roman"/>
                          <w:b/>
                          <w:bCs/>
                          <w:sz w:val="18"/>
                          <w:szCs w:val="18"/>
                        </w:rPr>
                        <w:t>Figure 4:</w:t>
                      </w:r>
                    </w:p>
                    <w:p w14:paraId="2D0F7F2C" w14:textId="69711B02" w:rsidR="0001117E" w:rsidRPr="0001117E" w:rsidRDefault="0001117E">
                      <w:pPr>
                        <w:rPr>
                          <w:rFonts w:ascii="Times New Roman" w:hAnsi="Times New Roman" w:cs="Times New Roman"/>
                          <w:sz w:val="18"/>
                          <w:szCs w:val="18"/>
                        </w:rPr>
                      </w:pPr>
                      <w:r w:rsidRPr="0001117E">
                        <w:rPr>
                          <w:rFonts w:ascii="Times New Roman" w:hAnsi="Times New Roman" w:cs="Times New Roman"/>
                          <w:sz w:val="18"/>
                          <w:szCs w:val="18"/>
                        </w:rPr>
                        <w:t xml:space="preserve">This shows the chemical reaction that occurs during bisulfite conversion to turn a cytosine into </w:t>
                      </w:r>
                      <w:r w:rsidR="000070B2" w:rsidRPr="0001117E">
                        <w:rPr>
                          <w:rFonts w:ascii="Times New Roman" w:hAnsi="Times New Roman" w:cs="Times New Roman"/>
                          <w:sz w:val="18"/>
                          <w:szCs w:val="18"/>
                        </w:rPr>
                        <w:t>an</w:t>
                      </w:r>
                      <w:r w:rsidRPr="0001117E">
                        <w:rPr>
                          <w:rFonts w:ascii="Times New Roman" w:hAnsi="Times New Roman" w:cs="Times New Roman"/>
                          <w:sz w:val="18"/>
                          <w:szCs w:val="18"/>
                        </w:rPr>
                        <w:t xml:space="preserve"> uracil without the present of a 5’-methyl group</w:t>
                      </w:r>
                      <w:r w:rsidRPr="0001117E">
                        <w:rPr>
                          <w:rFonts w:ascii="Times New Roman" w:hAnsi="Times New Roman" w:cs="Times New Roman"/>
                          <w:sz w:val="18"/>
                          <w:szCs w:val="18"/>
                          <w:vertAlign w:val="superscript"/>
                        </w:rPr>
                        <w:t>13</w:t>
                      </w:r>
                      <w:r w:rsidRPr="0001117E">
                        <w:rPr>
                          <w:rFonts w:ascii="Times New Roman" w:hAnsi="Times New Roman" w:cs="Times New Roman"/>
                          <w:sz w:val="18"/>
                          <w:szCs w:val="18"/>
                        </w:rPr>
                        <w:t>.</w:t>
                      </w:r>
                    </w:p>
                  </w:txbxContent>
                </v:textbox>
              </v:shape>
            </w:pict>
          </mc:Fallback>
        </mc:AlternateContent>
      </w:r>
      <w:r w:rsidR="0001117E" w:rsidRPr="00BA76EA">
        <w:rPr>
          <w:rFonts w:ascii="Times New Roman" w:hAnsi="Times New Roman" w:cs="Times New Roman"/>
          <w:noProof/>
          <w:sz w:val="22"/>
          <w:szCs w:val="22"/>
        </w:rPr>
        <mc:AlternateContent>
          <mc:Choice Requires="wps">
            <w:drawing>
              <wp:anchor distT="0" distB="0" distL="114300" distR="114300" simplePos="0" relativeHeight="251668480" behindDoc="0" locked="0" layoutInCell="1" allowOverlap="1" wp14:anchorId="7019D1DC" wp14:editId="0418236E">
                <wp:simplePos x="0" y="0"/>
                <wp:positionH relativeFrom="column">
                  <wp:posOffset>4814761</wp:posOffset>
                </wp:positionH>
                <wp:positionV relativeFrom="paragraph">
                  <wp:posOffset>135817</wp:posOffset>
                </wp:positionV>
                <wp:extent cx="1035781" cy="1286634"/>
                <wp:effectExtent l="0" t="0" r="18415" b="8890"/>
                <wp:wrapNone/>
                <wp:docPr id="10" name="Text Box 10"/>
                <wp:cNvGraphicFramePr/>
                <a:graphic xmlns:a="http://schemas.openxmlformats.org/drawingml/2006/main">
                  <a:graphicData uri="http://schemas.microsoft.com/office/word/2010/wordprocessingShape">
                    <wps:wsp>
                      <wps:cNvSpPr txBox="1"/>
                      <wps:spPr>
                        <a:xfrm>
                          <a:off x="0" y="0"/>
                          <a:ext cx="1035781" cy="1286634"/>
                        </a:xfrm>
                        <a:prstGeom prst="rect">
                          <a:avLst/>
                        </a:prstGeom>
                        <a:solidFill>
                          <a:schemeClr val="lt1"/>
                        </a:solidFill>
                        <a:ln w="6350">
                          <a:solidFill>
                            <a:prstClr val="black"/>
                          </a:solidFill>
                        </a:ln>
                      </wps:spPr>
                      <wps:txbx>
                        <w:txbxContent>
                          <w:p w14:paraId="1D37FDCA" w14:textId="294B1171" w:rsidR="0001117E" w:rsidRDefault="0001117E">
                            <w:pPr>
                              <w:rPr>
                                <w:rFonts w:ascii="Times New Roman" w:hAnsi="Times New Roman" w:cs="Times New Roman"/>
                                <w:b/>
                                <w:bCs/>
                                <w:sz w:val="20"/>
                                <w:szCs w:val="20"/>
                              </w:rPr>
                            </w:pPr>
                            <w:r w:rsidRPr="0001117E">
                              <w:rPr>
                                <w:rFonts w:ascii="Times New Roman" w:hAnsi="Times New Roman" w:cs="Times New Roman"/>
                                <w:b/>
                                <w:bCs/>
                                <w:sz w:val="20"/>
                                <w:szCs w:val="20"/>
                              </w:rPr>
                              <w:t>Figure 3:</w:t>
                            </w:r>
                          </w:p>
                          <w:p w14:paraId="3FE8E1CF" w14:textId="54A819CE" w:rsidR="0001117E" w:rsidRPr="00CF24AA" w:rsidRDefault="0001117E">
                            <w:pPr>
                              <w:rPr>
                                <w:rFonts w:ascii="Times New Roman" w:hAnsi="Times New Roman" w:cs="Times New Roman"/>
                                <w:sz w:val="20"/>
                                <w:szCs w:val="20"/>
                              </w:rPr>
                            </w:pPr>
                            <w:r>
                              <w:rPr>
                                <w:rFonts w:ascii="Times New Roman" w:hAnsi="Times New Roman" w:cs="Times New Roman"/>
                                <w:sz w:val="20"/>
                                <w:szCs w:val="20"/>
                              </w:rPr>
                              <w:t>This shows how DNA is extracted by separating it from the other cellular components</w:t>
                            </w:r>
                            <w:r w:rsidR="00CF24AA">
                              <w:rPr>
                                <w:rFonts w:ascii="Times New Roman" w:hAnsi="Times New Roman" w:cs="Times New Roman"/>
                                <w:sz w:val="20"/>
                                <w:szCs w:val="20"/>
                                <w:vertAlign w:val="superscript"/>
                              </w:rPr>
                              <w:t>21</w:t>
                            </w:r>
                            <w:r w:rsidR="00CF24AA">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D1DC" id="Text Box 10" o:spid="_x0000_s1029" type="#_x0000_t202" style="position:absolute;margin-left:379.1pt;margin-top:10.7pt;width:81.55pt;height:10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MqlUAIAAKsEAAAOAAAAZHJzL2Uyb0RvYy54bWysVE1v2zAMvQ/YfxB0X5yvpllQp8haZBhQ&#13;&#10;tAWSoWdFlhtjsqhJSuzu1+9JTtK022nYRZbIpyfykfTVdVtrtlfOV2RyPuj1OVNGUlGZ55x/Xy8/&#13;&#10;TTnzQZhCaDIq5y/K8+v5xw9XjZ2pIW1JF8oxkBg/a2zOtyHYWZZ5uVW18D2yysBZkqtFwNE9Z4UT&#13;&#10;DdhrnQ37/UnWkCusI6m8h/W2c/J54i9LJcNDWXoVmM45YgtpdWndxDWbX4nZsxN2W8lDGOIfoqhF&#13;&#10;ZfDoiepWBMF2rvqDqq6kI09l6EmqMyrLSqqUA7IZ9N9ls9oKq1IuEMfbk0z+/9HK+/2jY1WB2kEe&#13;&#10;I2rUaK3awL5Qy2CCPo31M8BWFsDQwg7s0e5hjGm3pavjFwkx+EH1clI3ssl4qT+6uJwOOJPwDYbT&#13;&#10;yWQ0jjzZ63XrfPiqqGZxk3OH8iVVxf7Ohw56hMTXPOmqWFZap0NsGXWjHdsLFFuHFCTI36C0YU3O&#13;&#10;J6OLfiJ+44vUp/sbLeSPQ3hnKPBpg5ijKF3ycRfaTZtEHB2F2VDxAr0cdR3nrVxWoL8TPjwKhxaD&#13;&#10;RBib8ICl1ISY6LDjbEvu19/sEY/Kw8tZg5bNuf+5E05xpr8Z9MTnwXgcezwdxheXQxzcuWdz7jG7&#13;&#10;+oYgFAqC6NI24oM+bktH9ROmaxFfhUsYibdzHo7bm9ANEqZTqsUigdDVVoQ7s7IyUsfCRFnX7ZNw&#13;&#10;9lDWgI64p2Nzi9m76nbYeNPQYheorFLpo86dqgf5MRGpeQ7TG0fu/JxQr/+Y+W8AAAD//wMAUEsD&#13;&#10;BBQABgAIAAAAIQD2Ak6v4QAAAA8BAAAPAAAAZHJzL2Rvd25yZXYueG1sTE/LTsMwELwj8Q/WInGj&#13;&#10;TkyBNI1T8ShcOFEQZzfeOhaxHdluGv6e5QSXlXZndh7NZnYDmzAmG7yEclEAQ98Fbb2R8PH+fFUB&#13;&#10;S1l5rYbgUcI3Jti052eNqnU4+TecdtkwEvGpVhL6nMea89T16FRahBE9YYcQncq0RsN1VCcSdwMX&#13;&#10;RXHLnbKeHHo14mOP3dfu6CRsH8zKdJWK/bbS1k7z5+HVvEh5eTE/rWncr4FlnPPfB/x2oPzQUrB9&#13;&#10;OHqd2CDh7qYSRJUgyiUwIqxEeQ1sTwexLIC3Df/fo/0BAAD//wMAUEsBAi0AFAAGAAgAAAAhALaD&#13;&#10;OJL+AAAA4QEAABMAAAAAAAAAAAAAAAAAAAAAAFtDb250ZW50X1R5cGVzXS54bWxQSwECLQAUAAYA&#13;&#10;CAAAACEAOP0h/9YAAACUAQAACwAAAAAAAAAAAAAAAAAvAQAAX3JlbHMvLnJlbHNQSwECLQAUAAYA&#13;&#10;CAAAACEAjlDKpVACAACrBAAADgAAAAAAAAAAAAAAAAAuAgAAZHJzL2Uyb0RvYy54bWxQSwECLQAU&#13;&#10;AAYACAAAACEA9gJOr+EAAAAPAQAADwAAAAAAAAAAAAAAAACqBAAAZHJzL2Rvd25yZXYueG1sUEsF&#13;&#10;BgAAAAAEAAQA8wAAALgFAAAAAA==&#13;&#10;" fillcolor="white [3201]" strokeweight=".5pt">
                <v:textbox>
                  <w:txbxContent>
                    <w:p w14:paraId="1D37FDCA" w14:textId="294B1171" w:rsidR="0001117E" w:rsidRDefault="0001117E">
                      <w:pPr>
                        <w:rPr>
                          <w:rFonts w:ascii="Times New Roman" w:hAnsi="Times New Roman" w:cs="Times New Roman"/>
                          <w:b/>
                          <w:bCs/>
                          <w:sz w:val="20"/>
                          <w:szCs w:val="20"/>
                        </w:rPr>
                      </w:pPr>
                      <w:r w:rsidRPr="0001117E">
                        <w:rPr>
                          <w:rFonts w:ascii="Times New Roman" w:hAnsi="Times New Roman" w:cs="Times New Roman"/>
                          <w:b/>
                          <w:bCs/>
                          <w:sz w:val="20"/>
                          <w:szCs w:val="20"/>
                        </w:rPr>
                        <w:t>Figure 3:</w:t>
                      </w:r>
                    </w:p>
                    <w:p w14:paraId="3FE8E1CF" w14:textId="54A819CE" w:rsidR="0001117E" w:rsidRPr="00CF24AA" w:rsidRDefault="0001117E">
                      <w:pPr>
                        <w:rPr>
                          <w:rFonts w:ascii="Times New Roman" w:hAnsi="Times New Roman" w:cs="Times New Roman"/>
                          <w:sz w:val="20"/>
                          <w:szCs w:val="20"/>
                        </w:rPr>
                      </w:pPr>
                      <w:r>
                        <w:rPr>
                          <w:rFonts w:ascii="Times New Roman" w:hAnsi="Times New Roman" w:cs="Times New Roman"/>
                          <w:sz w:val="20"/>
                          <w:szCs w:val="20"/>
                        </w:rPr>
                        <w:t>This shows how DNA is extracted by separating it from the other cellular components</w:t>
                      </w:r>
                      <w:r w:rsidR="00CF24AA">
                        <w:rPr>
                          <w:rFonts w:ascii="Times New Roman" w:hAnsi="Times New Roman" w:cs="Times New Roman"/>
                          <w:sz w:val="20"/>
                          <w:szCs w:val="20"/>
                          <w:vertAlign w:val="superscript"/>
                        </w:rPr>
                        <w:t>21</w:t>
                      </w:r>
                      <w:r w:rsidR="00CF24AA">
                        <w:rPr>
                          <w:rFonts w:ascii="Times New Roman" w:hAnsi="Times New Roman" w:cs="Times New Roman"/>
                          <w:sz w:val="20"/>
                          <w:szCs w:val="20"/>
                        </w:rPr>
                        <w:t>.</w:t>
                      </w:r>
                    </w:p>
                  </w:txbxContent>
                </v:textbox>
              </v:shape>
            </w:pict>
          </mc:Fallback>
        </mc:AlternateContent>
      </w:r>
      <w:r w:rsidR="0001117E" w:rsidRPr="00BA76EA">
        <w:rPr>
          <w:rFonts w:ascii="Times New Roman" w:hAnsi="Times New Roman" w:cs="Times New Roman"/>
          <w:noProof/>
          <w:sz w:val="22"/>
          <w:szCs w:val="22"/>
        </w:rPr>
        <w:drawing>
          <wp:anchor distT="0" distB="0" distL="114300" distR="114300" simplePos="0" relativeHeight="251663360" behindDoc="1" locked="0" layoutInCell="1" allowOverlap="0" wp14:anchorId="3D81056E" wp14:editId="63803DCA">
            <wp:simplePos x="0" y="0"/>
            <wp:positionH relativeFrom="column">
              <wp:posOffset>2297222</wp:posOffset>
            </wp:positionH>
            <wp:positionV relativeFrom="paragraph">
              <wp:posOffset>80223</wp:posOffset>
            </wp:positionV>
            <wp:extent cx="2359152" cy="1353312"/>
            <wp:effectExtent l="0" t="0" r="3175" b="5715"/>
            <wp:wrapTight wrapText="left">
              <wp:wrapPolygon edited="0">
                <wp:start x="0" y="0"/>
                <wp:lineTo x="0" y="21489"/>
                <wp:lineTo x="21513" y="21489"/>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30 at 11.48.33 AM.png"/>
                    <pic:cNvPicPr/>
                  </pic:nvPicPr>
                  <pic:blipFill>
                    <a:blip r:embed="rId10">
                      <a:extLst>
                        <a:ext uri="{28A0092B-C50C-407E-A947-70E740481C1C}">
                          <a14:useLocalDpi xmlns:a14="http://schemas.microsoft.com/office/drawing/2010/main" val="0"/>
                        </a:ext>
                      </a:extLst>
                    </a:blip>
                    <a:stretch>
                      <a:fillRect/>
                    </a:stretch>
                  </pic:blipFill>
                  <pic:spPr>
                    <a:xfrm>
                      <a:off x="0" y="0"/>
                      <a:ext cx="2359152" cy="1353312"/>
                    </a:xfrm>
                    <a:prstGeom prst="rect">
                      <a:avLst/>
                    </a:prstGeom>
                  </pic:spPr>
                </pic:pic>
              </a:graphicData>
            </a:graphic>
            <wp14:sizeRelH relativeFrom="margin">
              <wp14:pctWidth>0</wp14:pctWidth>
            </wp14:sizeRelH>
            <wp14:sizeRelV relativeFrom="margin">
              <wp14:pctHeight>0</wp14:pctHeight>
            </wp14:sizeRelV>
          </wp:anchor>
        </w:drawing>
      </w:r>
      <w:r w:rsidR="005B11E4" w:rsidRPr="00BA76EA">
        <w:rPr>
          <w:rFonts w:ascii="Times New Roman" w:hAnsi="Times New Roman" w:cs="Times New Roman"/>
          <w:noProof/>
          <w:sz w:val="22"/>
          <w:szCs w:val="22"/>
        </w:rPr>
        <w:drawing>
          <wp:anchor distT="0" distB="0" distL="114300" distR="114300" simplePos="0" relativeHeight="251664384" behindDoc="1" locked="0" layoutInCell="1" allowOverlap="1" wp14:anchorId="708C648D" wp14:editId="54F42FD5">
            <wp:simplePos x="0" y="0"/>
            <wp:positionH relativeFrom="column">
              <wp:posOffset>3147802</wp:posOffset>
            </wp:positionH>
            <wp:positionV relativeFrom="paragraph">
              <wp:posOffset>2535274</wp:posOffset>
            </wp:positionV>
            <wp:extent cx="3136392" cy="1572768"/>
            <wp:effectExtent l="0" t="0" r="0" b="0"/>
            <wp:wrapTight wrapText="left">
              <wp:wrapPolygon edited="0">
                <wp:start x="13995" y="872"/>
                <wp:lineTo x="2362" y="1221"/>
                <wp:lineTo x="1225" y="1396"/>
                <wp:lineTo x="1225" y="4013"/>
                <wp:lineTo x="612" y="5932"/>
                <wp:lineTo x="700" y="6630"/>
                <wp:lineTo x="1837" y="6805"/>
                <wp:lineTo x="1050" y="9596"/>
                <wp:lineTo x="1837" y="12388"/>
                <wp:lineTo x="1312" y="13958"/>
                <wp:lineTo x="1312" y="15179"/>
                <wp:lineTo x="612" y="16401"/>
                <wp:lineTo x="1137" y="17971"/>
                <wp:lineTo x="10758" y="17971"/>
                <wp:lineTo x="525" y="18843"/>
                <wp:lineTo x="350" y="20065"/>
                <wp:lineTo x="2012" y="20588"/>
                <wp:lineTo x="3061" y="20588"/>
                <wp:lineTo x="3499" y="20239"/>
                <wp:lineTo x="9097" y="18669"/>
                <wp:lineTo x="10671" y="17971"/>
                <wp:lineTo x="6298" y="15179"/>
                <wp:lineTo x="6473" y="13609"/>
                <wp:lineTo x="5773" y="13086"/>
                <wp:lineTo x="3061" y="12388"/>
                <wp:lineTo x="21080" y="9771"/>
                <wp:lineTo x="20817" y="6805"/>
                <wp:lineTo x="21167" y="4711"/>
                <wp:lineTo x="21167" y="4013"/>
                <wp:lineTo x="20467" y="872"/>
                <wp:lineTo x="13995" y="87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80px-Bisulfite_conversion.png"/>
                    <pic:cNvPicPr/>
                  </pic:nvPicPr>
                  <pic:blipFill>
                    <a:blip r:embed="rId11">
                      <a:extLst>
                        <a:ext uri="{28A0092B-C50C-407E-A947-70E740481C1C}">
                          <a14:useLocalDpi xmlns:a14="http://schemas.microsoft.com/office/drawing/2010/main" val="0"/>
                        </a:ext>
                      </a:extLst>
                    </a:blip>
                    <a:stretch>
                      <a:fillRect/>
                    </a:stretch>
                  </pic:blipFill>
                  <pic:spPr>
                    <a:xfrm>
                      <a:off x="0" y="0"/>
                      <a:ext cx="3136392" cy="1572768"/>
                    </a:xfrm>
                    <a:prstGeom prst="rect">
                      <a:avLst/>
                    </a:prstGeom>
                  </pic:spPr>
                </pic:pic>
              </a:graphicData>
            </a:graphic>
            <wp14:sizeRelH relativeFrom="margin">
              <wp14:pctWidth>0</wp14:pctWidth>
            </wp14:sizeRelH>
            <wp14:sizeRelV relativeFrom="margin">
              <wp14:pctHeight>0</wp14:pctHeight>
            </wp14:sizeRelV>
          </wp:anchor>
        </w:drawing>
      </w:r>
      <w:r w:rsidR="00C83FDE" w:rsidRPr="00BA76EA">
        <w:rPr>
          <w:rFonts w:ascii="Times New Roman" w:hAnsi="Times New Roman" w:cs="Times New Roman"/>
          <w:sz w:val="22"/>
          <w:szCs w:val="22"/>
        </w:rPr>
        <w:t xml:space="preserve">To extract the DNA, the </w:t>
      </w:r>
      <w:r w:rsidR="004D79AE" w:rsidRPr="00BA76EA">
        <w:rPr>
          <w:rFonts w:ascii="Times New Roman" w:hAnsi="Times New Roman" w:cs="Times New Roman"/>
          <w:sz w:val="22"/>
          <w:szCs w:val="22"/>
        </w:rPr>
        <w:t xml:space="preserve">fibroblasts will be exposed to sodium dodecylsulfate (SDS) and proteinase K. SDS works by breaking the noncovalent interactions in proteins such as hydrogen bonds thus denaturing the proteins and is used to disrupt cell membranes and inhibit RNase and DNase </w:t>
      </w:r>
      <w:r w:rsidR="004D79AE" w:rsidRPr="00BA76EA">
        <w:rPr>
          <w:rFonts w:ascii="Times New Roman" w:hAnsi="Times New Roman" w:cs="Times New Roman"/>
          <w:sz w:val="22"/>
          <w:szCs w:val="22"/>
          <w:vertAlign w:val="superscript"/>
        </w:rPr>
        <w:t>19</w:t>
      </w:r>
      <w:r w:rsidR="004D79AE" w:rsidRPr="00BA76EA">
        <w:rPr>
          <w:rFonts w:ascii="Times New Roman" w:hAnsi="Times New Roman" w:cs="Times New Roman"/>
          <w:sz w:val="22"/>
          <w:szCs w:val="22"/>
        </w:rPr>
        <w:t>. Proteinase K</w:t>
      </w:r>
      <w:r w:rsidR="00AB7CF1" w:rsidRPr="00BA76EA">
        <w:rPr>
          <w:rFonts w:ascii="Times New Roman" w:hAnsi="Times New Roman" w:cs="Times New Roman"/>
          <w:sz w:val="22"/>
          <w:szCs w:val="22"/>
        </w:rPr>
        <w:t xml:space="preserve"> is a serine protease that cleaves peptides at the carboxyl terminus of hydrophobic amino acids which targets proteins that might contaminate the sample and nucleases</w:t>
      </w:r>
      <w:r w:rsidR="00AB7CF1" w:rsidRPr="00BA76EA">
        <w:rPr>
          <w:rFonts w:ascii="Times New Roman" w:hAnsi="Times New Roman" w:cs="Times New Roman"/>
          <w:sz w:val="22"/>
          <w:szCs w:val="22"/>
          <w:vertAlign w:val="superscript"/>
        </w:rPr>
        <w:t>20</w:t>
      </w:r>
      <w:r w:rsidR="00AB7CF1" w:rsidRPr="00BA76EA">
        <w:rPr>
          <w:rFonts w:ascii="Times New Roman" w:hAnsi="Times New Roman" w:cs="Times New Roman"/>
          <w:sz w:val="22"/>
          <w:szCs w:val="22"/>
        </w:rPr>
        <w:t>. Following this, the sample will be added to a mixture of phenol, chloroform in a 25:24 ratio. This mixture promotes the separation of hydrophobic lipids and cell remnants into the lower, less polar organic layer (chloroform and phenol) and the negatively charged DNA into the polar, aqueous layer</w:t>
      </w:r>
      <w:r w:rsidR="003829B9" w:rsidRPr="00BA76EA">
        <w:rPr>
          <w:rFonts w:ascii="Times New Roman" w:hAnsi="Times New Roman" w:cs="Times New Roman"/>
          <w:sz w:val="22"/>
          <w:szCs w:val="22"/>
        </w:rPr>
        <w:t xml:space="preserve"> as can be seen in Figure 3</w:t>
      </w:r>
      <w:r w:rsidR="003829B9" w:rsidRPr="00BA76EA">
        <w:rPr>
          <w:rFonts w:ascii="Times New Roman" w:hAnsi="Times New Roman" w:cs="Times New Roman"/>
          <w:sz w:val="22"/>
          <w:szCs w:val="22"/>
          <w:vertAlign w:val="superscript"/>
        </w:rPr>
        <w:t>21</w:t>
      </w:r>
      <w:r w:rsidR="00AB7CF1" w:rsidRPr="00BA76EA">
        <w:rPr>
          <w:rFonts w:ascii="Times New Roman" w:hAnsi="Times New Roman" w:cs="Times New Roman"/>
          <w:sz w:val="22"/>
          <w:szCs w:val="22"/>
        </w:rPr>
        <w:t>.</w:t>
      </w:r>
      <w:r w:rsidR="003829B9" w:rsidRPr="00BA76EA">
        <w:rPr>
          <w:rFonts w:ascii="Times New Roman" w:hAnsi="Times New Roman" w:cs="Times New Roman"/>
          <w:sz w:val="22"/>
          <w:szCs w:val="22"/>
        </w:rPr>
        <w:t xml:space="preserve"> Next, the DNA must be precipitated. In order to do this, sodium acetate (NaOAc) must be added to the sample</w:t>
      </w:r>
      <w:r w:rsidR="00AC707B" w:rsidRPr="00BA76EA">
        <w:rPr>
          <w:rFonts w:ascii="Times New Roman" w:hAnsi="Times New Roman" w:cs="Times New Roman"/>
          <w:sz w:val="22"/>
          <w:szCs w:val="22"/>
          <w:vertAlign w:val="superscript"/>
        </w:rPr>
        <w:t>21</w:t>
      </w:r>
      <w:r w:rsidR="003829B9" w:rsidRPr="00BA76EA">
        <w:rPr>
          <w:rFonts w:ascii="Times New Roman" w:hAnsi="Times New Roman" w:cs="Times New Roman"/>
          <w:sz w:val="22"/>
          <w:szCs w:val="22"/>
        </w:rPr>
        <w:t xml:space="preserve">. The sodium ion, which is positively charged, neutralizes the negatively charged sugar-phosphate backbone thus making the DNA less polar and more hydrophilic. Ethanol will then be added because </w:t>
      </w:r>
      <w:r w:rsidR="00AC707B" w:rsidRPr="00BA76EA">
        <w:rPr>
          <w:rFonts w:ascii="Times New Roman" w:hAnsi="Times New Roman" w:cs="Times New Roman"/>
          <w:sz w:val="22"/>
          <w:szCs w:val="22"/>
        </w:rPr>
        <w:t>it promotes the interaction between the sodium ion and the sugar phosphate thus allowing the DNA to drop out of solution</w:t>
      </w:r>
      <w:r w:rsidR="00AC707B" w:rsidRPr="00BA76EA">
        <w:rPr>
          <w:rFonts w:ascii="Times New Roman" w:hAnsi="Times New Roman" w:cs="Times New Roman"/>
          <w:sz w:val="22"/>
          <w:szCs w:val="22"/>
          <w:vertAlign w:val="superscript"/>
        </w:rPr>
        <w:t>21</w:t>
      </w:r>
      <w:r w:rsidR="00AC707B" w:rsidRPr="00BA76EA">
        <w:rPr>
          <w:rFonts w:ascii="Times New Roman" w:hAnsi="Times New Roman" w:cs="Times New Roman"/>
          <w:sz w:val="22"/>
          <w:szCs w:val="22"/>
        </w:rPr>
        <w:t>.</w:t>
      </w:r>
    </w:p>
    <w:p w14:paraId="4199A3A8" w14:textId="216C8025" w:rsidR="00FB7DA2" w:rsidRPr="00BA76EA" w:rsidRDefault="00FB7DA2" w:rsidP="00BA76EA">
      <w:pPr>
        <w:rPr>
          <w:rFonts w:ascii="Times New Roman" w:hAnsi="Times New Roman" w:cs="Times New Roman"/>
          <w:sz w:val="22"/>
          <w:szCs w:val="22"/>
        </w:rPr>
      </w:pPr>
    </w:p>
    <w:p w14:paraId="7453FC6D" w14:textId="3EA44C5E" w:rsidR="005D43BB" w:rsidRPr="00BA76EA" w:rsidRDefault="00FB7DA2" w:rsidP="00BA76EA">
      <w:pPr>
        <w:rPr>
          <w:rFonts w:ascii="Times New Roman" w:hAnsi="Times New Roman" w:cs="Times New Roman"/>
          <w:sz w:val="22"/>
          <w:szCs w:val="22"/>
        </w:rPr>
      </w:pPr>
      <w:r w:rsidRPr="00BA76EA">
        <w:rPr>
          <w:rFonts w:ascii="Times New Roman" w:hAnsi="Times New Roman" w:cs="Times New Roman"/>
          <w:sz w:val="22"/>
          <w:szCs w:val="22"/>
        </w:rPr>
        <w:t>After DNA extraction, the purified DNA will be added to sodium bisulfite. Sodium bisul</w:t>
      </w:r>
      <w:r w:rsidR="005B11E4" w:rsidRPr="00BA76EA">
        <w:rPr>
          <w:rFonts w:ascii="Times New Roman" w:hAnsi="Times New Roman" w:cs="Times New Roman"/>
          <w:sz w:val="22"/>
          <w:szCs w:val="22"/>
        </w:rPr>
        <w:t>ph</w:t>
      </w:r>
      <w:r w:rsidRPr="00BA76EA">
        <w:rPr>
          <w:rFonts w:ascii="Times New Roman" w:hAnsi="Times New Roman" w:cs="Times New Roman"/>
          <w:sz w:val="22"/>
          <w:szCs w:val="22"/>
        </w:rPr>
        <w:t>ite modifies cytosines bases and turns them into uracil bases as is shown in Figure 4</w:t>
      </w:r>
      <w:r w:rsidR="009E3FA3" w:rsidRPr="00BA76EA">
        <w:rPr>
          <w:rFonts w:ascii="Times New Roman" w:hAnsi="Times New Roman" w:cs="Times New Roman"/>
          <w:sz w:val="22"/>
          <w:szCs w:val="22"/>
          <w:vertAlign w:val="superscript"/>
        </w:rPr>
        <w:t>13</w:t>
      </w:r>
      <w:r w:rsidRPr="00BA76EA">
        <w:rPr>
          <w:rFonts w:ascii="Times New Roman" w:hAnsi="Times New Roman" w:cs="Times New Roman"/>
          <w:sz w:val="22"/>
          <w:szCs w:val="22"/>
        </w:rPr>
        <w:t>.</w:t>
      </w:r>
      <w:r w:rsidR="005B11E4" w:rsidRPr="00BA76EA">
        <w:rPr>
          <w:rFonts w:ascii="Times New Roman" w:hAnsi="Times New Roman" w:cs="Times New Roman"/>
          <w:sz w:val="22"/>
          <w:szCs w:val="22"/>
        </w:rPr>
        <w:t xml:space="preserve"> Sodium bisulphite will only react with unmethylated cytosines whereas methylated cytosines will be unreactive (Figure 4). These differences will be detectable when MS-PCR is performed on the samples</w:t>
      </w:r>
      <w:r w:rsidR="009E3FA3" w:rsidRPr="00BA76EA">
        <w:rPr>
          <w:rFonts w:ascii="Times New Roman" w:hAnsi="Times New Roman" w:cs="Times New Roman"/>
          <w:sz w:val="22"/>
          <w:szCs w:val="22"/>
          <w:vertAlign w:val="superscript"/>
        </w:rPr>
        <w:t>13</w:t>
      </w:r>
      <w:r w:rsidR="005B11E4" w:rsidRPr="00BA76EA">
        <w:rPr>
          <w:rFonts w:ascii="Times New Roman" w:hAnsi="Times New Roman" w:cs="Times New Roman"/>
          <w:sz w:val="22"/>
          <w:szCs w:val="22"/>
        </w:rPr>
        <w:t>.</w:t>
      </w:r>
    </w:p>
    <w:p w14:paraId="67EA3E26" w14:textId="2FDF79DD" w:rsidR="00F87474" w:rsidRDefault="00F87474" w:rsidP="00BA76EA">
      <w:pPr>
        <w:rPr>
          <w:rFonts w:ascii="Times New Roman" w:hAnsi="Times New Roman" w:cs="Times New Roman"/>
          <w:sz w:val="22"/>
          <w:szCs w:val="22"/>
        </w:rPr>
      </w:pPr>
    </w:p>
    <w:p w14:paraId="2B52F2D2" w14:textId="283A2C78" w:rsidR="0029424C" w:rsidRDefault="0029424C" w:rsidP="00BA76EA">
      <w:pPr>
        <w:rPr>
          <w:rFonts w:ascii="Times New Roman" w:hAnsi="Times New Roman" w:cs="Times New Roman"/>
          <w:sz w:val="22"/>
          <w:szCs w:val="22"/>
        </w:rPr>
      </w:pPr>
    </w:p>
    <w:p w14:paraId="5AC8CAB0" w14:textId="6414ACA2" w:rsidR="0029424C" w:rsidRDefault="0029424C" w:rsidP="00BA76EA">
      <w:pPr>
        <w:rPr>
          <w:rFonts w:ascii="Times New Roman" w:hAnsi="Times New Roman" w:cs="Times New Roman"/>
          <w:sz w:val="22"/>
          <w:szCs w:val="22"/>
        </w:rPr>
      </w:pPr>
    </w:p>
    <w:p w14:paraId="082FB5DF" w14:textId="77777777" w:rsidR="0029424C" w:rsidRPr="00BA76EA" w:rsidRDefault="0029424C" w:rsidP="00BA76EA">
      <w:pPr>
        <w:rPr>
          <w:rFonts w:ascii="Times New Roman" w:hAnsi="Times New Roman" w:cs="Times New Roman"/>
          <w:sz w:val="22"/>
          <w:szCs w:val="22"/>
        </w:rPr>
      </w:pPr>
    </w:p>
    <w:p w14:paraId="642F4480" w14:textId="0C7E7442" w:rsidR="00F87474" w:rsidRPr="00BA76EA" w:rsidRDefault="00F87474" w:rsidP="00BA76EA">
      <w:pPr>
        <w:rPr>
          <w:rFonts w:ascii="Times New Roman" w:hAnsi="Times New Roman" w:cs="Times New Roman"/>
          <w:sz w:val="22"/>
          <w:szCs w:val="22"/>
        </w:rPr>
      </w:pPr>
      <w:r w:rsidRPr="00BA76EA">
        <w:rPr>
          <w:rFonts w:ascii="Times New Roman" w:hAnsi="Times New Roman" w:cs="Times New Roman"/>
          <w:sz w:val="22"/>
          <w:szCs w:val="22"/>
        </w:rPr>
        <w:lastRenderedPageBreak/>
        <w:t>II. C. Methylation-Specific P</w:t>
      </w:r>
      <w:r w:rsidR="006212F1" w:rsidRPr="00BA76EA">
        <w:rPr>
          <w:rFonts w:ascii="Times New Roman" w:hAnsi="Times New Roman" w:cs="Times New Roman"/>
          <w:sz w:val="22"/>
          <w:szCs w:val="22"/>
        </w:rPr>
        <w:t xml:space="preserve">olymerase </w:t>
      </w:r>
      <w:r w:rsidRPr="00BA76EA">
        <w:rPr>
          <w:rFonts w:ascii="Times New Roman" w:hAnsi="Times New Roman" w:cs="Times New Roman"/>
          <w:sz w:val="22"/>
          <w:szCs w:val="22"/>
        </w:rPr>
        <w:t>C</w:t>
      </w:r>
      <w:r w:rsidR="006212F1" w:rsidRPr="00BA76EA">
        <w:rPr>
          <w:rFonts w:ascii="Times New Roman" w:hAnsi="Times New Roman" w:cs="Times New Roman"/>
          <w:sz w:val="22"/>
          <w:szCs w:val="22"/>
        </w:rPr>
        <w:t xml:space="preserve">hain </w:t>
      </w:r>
      <w:r w:rsidRPr="00BA76EA">
        <w:rPr>
          <w:rFonts w:ascii="Times New Roman" w:hAnsi="Times New Roman" w:cs="Times New Roman"/>
          <w:sz w:val="22"/>
          <w:szCs w:val="22"/>
        </w:rPr>
        <w:t>R</w:t>
      </w:r>
      <w:r w:rsidR="006212F1" w:rsidRPr="00BA76EA">
        <w:rPr>
          <w:rFonts w:ascii="Times New Roman" w:hAnsi="Times New Roman" w:cs="Times New Roman"/>
          <w:sz w:val="22"/>
          <w:szCs w:val="22"/>
        </w:rPr>
        <w:t>eaction</w:t>
      </w:r>
      <w:r w:rsidRPr="00BA76EA">
        <w:rPr>
          <w:rFonts w:ascii="Times New Roman" w:hAnsi="Times New Roman" w:cs="Times New Roman"/>
          <w:sz w:val="22"/>
          <w:szCs w:val="22"/>
        </w:rPr>
        <w:t xml:space="preserve"> (MS-PCR)</w:t>
      </w:r>
    </w:p>
    <w:p w14:paraId="203928BC" w14:textId="2420C89C" w:rsidR="009E3FA3" w:rsidRPr="00BA76EA" w:rsidRDefault="00976F34" w:rsidP="00976F34">
      <w:pPr>
        <w:tabs>
          <w:tab w:val="left" w:pos="6716"/>
        </w:tabs>
        <w:rPr>
          <w:rFonts w:ascii="Times New Roman" w:hAnsi="Times New Roman" w:cs="Times New Roman"/>
          <w:sz w:val="22"/>
          <w:szCs w:val="22"/>
        </w:rPr>
      </w:pPr>
      <w:r>
        <w:rPr>
          <w:rFonts w:ascii="Times New Roman" w:hAnsi="Times New Roman" w:cs="Times New Roman"/>
          <w:sz w:val="22"/>
          <w:szCs w:val="22"/>
        </w:rPr>
        <w:tab/>
      </w:r>
    </w:p>
    <w:p w14:paraId="63DBD934" w14:textId="4FF093FF" w:rsidR="009E3FA3" w:rsidRPr="00BA76EA" w:rsidRDefault="009E3FA3" w:rsidP="00BA76EA">
      <w:pPr>
        <w:rPr>
          <w:rFonts w:ascii="Times New Roman" w:hAnsi="Times New Roman" w:cs="Times New Roman"/>
          <w:sz w:val="22"/>
          <w:szCs w:val="22"/>
        </w:rPr>
      </w:pPr>
      <w:r w:rsidRPr="00BA76EA">
        <w:rPr>
          <w:rFonts w:ascii="Times New Roman" w:hAnsi="Times New Roman" w:cs="Times New Roman"/>
          <w:sz w:val="22"/>
          <w:szCs w:val="22"/>
        </w:rPr>
        <w:t xml:space="preserve">Primers specific for the unmethylated and methylated samples can be used to detect differences in methylation using MS-PCR. The primers for the unmethylated CXCL-8 gene were: </w:t>
      </w:r>
      <w:r w:rsidRPr="00BA76EA">
        <w:rPr>
          <w:rFonts w:ascii="Times New Roman" w:hAnsi="Times New Roman" w:cs="Times New Roman"/>
          <w:sz w:val="22"/>
          <w:szCs w:val="22"/>
        </w:rPr>
        <w:t>forward 5</w:t>
      </w:r>
      <w:r w:rsidRPr="00BA76EA">
        <w:rPr>
          <w:rFonts w:ascii="Times New Roman" w:hAnsi="Times New Roman" w:cs="Times New Roman"/>
          <w:sz w:val="22"/>
          <w:szCs w:val="22"/>
        </w:rPr>
        <w:t>’</w:t>
      </w:r>
      <w:r w:rsidRPr="00BA76EA">
        <w:rPr>
          <w:rFonts w:ascii="Times New Roman" w:hAnsi="Times New Roman" w:cs="Times New Roman"/>
          <w:sz w:val="22"/>
          <w:szCs w:val="22"/>
        </w:rPr>
        <w:t>aaaatttttgttatattttg</w:t>
      </w:r>
      <w:r w:rsidRPr="00BA76EA">
        <w:rPr>
          <w:rFonts w:ascii="Times New Roman" w:hAnsi="Times New Roman" w:cs="Times New Roman"/>
          <w:sz w:val="22"/>
          <w:szCs w:val="22"/>
        </w:rPr>
        <w:t>3’</w:t>
      </w:r>
      <w:r w:rsidRPr="00BA76EA">
        <w:rPr>
          <w:rFonts w:ascii="Times New Roman" w:hAnsi="Times New Roman" w:cs="Times New Roman"/>
          <w:sz w:val="22"/>
          <w:szCs w:val="22"/>
        </w:rPr>
        <w:t>and reverse 5</w:t>
      </w:r>
      <w:r w:rsidRPr="00BA76EA">
        <w:rPr>
          <w:rFonts w:ascii="Times New Roman" w:hAnsi="Times New Roman" w:cs="Times New Roman"/>
          <w:sz w:val="22"/>
          <w:szCs w:val="22"/>
        </w:rPr>
        <w:t>’</w:t>
      </w:r>
      <w:r w:rsidRPr="00BA76EA">
        <w:rPr>
          <w:rFonts w:ascii="Times New Roman" w:hAnsi="Times New Roman" w:cs="Times New Roman"/>
          <w:sz w:val="22"/>
          <w:szCs w:val="22"/>
        </w:rPr>
        <w:t>tccaataactttttatatcat3</w:t>
      </w:r>
      <w:r w:rsidRPr="00BA76EA">
        <w:rPr>
          <w:rFonts w:ascii="Times New Roman" w:hAnsi="Times New Roman" w:cs="Times New Roman"/>
          <w:sz w:val="22"/>
          <w:szCs w:val="22"/>
        </w:rPr>
        <w:t>’</w:t>
      </w:r>
      <w:r w:rsidR="00D60B43" w:rsidRPr="00BA76EA">
        <w:rPr>
          <w:rFonts w:ascii="Times New Roman" w:hAnsi="Times New Roman" w:cs="Times New Roman"/>
          <w:sz w:val="22"/>
          <w:szCs w:val="22"/>
          <w:vertAlign w:val="superscript"/>
        </w:rPr>
        <w:t>2</w:t>
      </w:r>
      <w:r w:rsidR="00C32453" w:rsidRPr="00BA76EA">
        <w:rPr>
          <w:rFonts w:ascii="Times New Roman" w:hAnsi="Times New Roman" w:cs="Times New Roman"/>
          <w:sz w:val="22"/>
          <w:szCs w:val="22"/>
          <w:vertAlign w:val="superscript"/>
        </w:rPr>
        <w:t>3</w:t>
      </w:r>
      <w:r w:rsidRPr="00BA76EA">
        <w:rPr>
          <w:rFonts w:ascii="Times New Roman" w:hAnsi="Times New Roman" w:cs="Times New Roman"/>
          <w:sz w:val="22"/>
          <w:szCs w:val="22"/>
        </w:rPr>
        <w:t xml:space="preserve">. The primers for the methylated CXCL-8 gene were: </w:t>
      </w:r>
      <w:r w:rsidRPr="00BA76EA">
        <w:rPr>
          <w:rFonts w:ascii="Times New Roman" w:hAnsi="Times New Roman" w:cs="Times New Roman"/>
          <w:sz w:val="22"/>
          <w:szCs w:val="22"/>
        </w:rPr>
        <w:t>forward 5</w:t>
      </w:r>
      <w:r w:rsidRPr="00BA76EA">
        <w:rPr>
          <w:rFonts w:ascii="Times New Roman" w:hAnsi="Times New Roman" w:cs="Times New Roman"/>
          <w:sz w:val="22"/>
          <w:szCs w:val="22"/>
        </w:rPr>
        <w:t>’</w:t>
      </w:r>
      <w:r w:rsidRPr="00BA76EA">
        <w:rPr>
          <w:rFonts w:ascii="Times New Roman" w:hAnsi="Times New Roman" w:cs="Times New Roman"/>
          <w:sz w:val="22"/>
          <w:szCs w:val="22"/>
        </w:rPr>
        <w:t>aaaattttcgttatatttcg3</w:t>
      </w:r>
      <w:r w:rsidRPr="00BA76EA">
        <w:rPr>
          <w:rFonts w:ascii="Times New Roman" w:hAnsi="Times New Roman" w:cs="Times New Roman"/>
          <w:sz w:val="22"/>
          <w:szCs w:val="22"/>
        </w:rPr>
        <w:t xml:space="preserve">’ </w:t>
      </w:r>
      <w:r w:rsidRPr="00BA76EA">
        <w:rPr>
          <w:rFonts w:ascii="Times New Roman" w:hAnsi="Times New Roman" w:cs="Times New Roman"/>
          <w:sz w:val="22"/>
          <w:szCs w:val="22"/>
        </w:rPr>
        <w:t>and reverse 5</w:t>
      </w:r>
      <w:r w:rsidRPr="00BA76EA">
        <w:rPr>
          <w:rFonts w:ascii="Times New Roman" w:hAnsi="Times New Roman" w:cs="Times New Roman"/>
          <w:sz w:val="22"/>
          <w:szCs w:val="22"/>
        </w:rPr>
        <w:t>’</w:t>
      </w:r>
      <w:r w:rsidRPr="00BA76EA">
        <w:rPr>
          <w:rFonts w:ascii="Times New Roman" w:hAnsi="Times New Roman" w:cs="Times New Roman"/>
          <w:sz w:val="22"/>
          <w:szCs w:val="22"/>
        </w:rPr>
        <w:t>tccgataactttttatatcat3</w:t>
      </w:r>
      <w:r w:rsidRPr="00BA76EA">
        <w:rPr>
          <w:rFonts w:ascii="Times New Roman" w:hAnsi="Times New Roman" w:cs="Times New Roman"/>
          <w:sz w:val="22"/>
          <w:szCs w:val="22"/>
        </w:rPr>
        <w:t>’</w:t>
      </w:r>
      <w:r w:rsidR="00D60B43" w:rsidRPr="00BA76EA">
        <w:rPr>
          <w:rFonts w:ascii="Times New Roman" w:hAnsi="Times New Roman" w:cs="Times New Roman"/>
          <w:sz w:val="22"/>
          <w:szCs w:val="22"/>
          <w:vertAlign w:val="superscript"/>
        </w:rPr>
        <w:t>2</w:t>
      </w:r>
      <w:r w:rsidR="00C32453" w:rsidRPr="00BA76EA">
        <w:rPr>
          <w:rFonts w:ascii="Times New Roman" w:hAnsi="Times New Roman" w:cs="Times New Roman"/>
          <w:sz w:val="22"/>
          <w:szCs w:val="22"/>
          <w:vertAlign w:val="superscript"/>
        </w:rPr>
        <w:t>3</w:t>
      </w:r>
      <w:r w:rsidRPr="00BA76EA">
        <w:rPr>
          <w:rFonts w:ascii="Times New Roman" w:hAnsi="Times New Roman" w:cs="Times New Roman"/>
          <w:sz w:val="22"/>
          <w:szCs w:val="22"/>
        </w:rPr>
        <w:t>. These primers were used by Andia et al. (2010)</w:t>
      </w:r>
      <w:r w:rsidR="00D60B43" w:rsidRPr="00BA76EA">
        <w:rPr>
          <w:rFonts w:ascii="Times New Roman" w:hAnsi="Times New Roman" w:cs="Times New Roman"/>
          <w:sz w:val="22"/>
          <w:szCs w:val="22"/>
        </w:rPr>
        <w:t xml:space="preserve"> and Oliveira et al. (2009)</w:t>
      </w:r>
      <w:r w:rsidRPr="00BA76EA">
        <w:rPr>
          <w:rFonts w:ascii="Times New Roman" w:hAnsi="Times New Roman" w:cs="Times New Roman"/>
          <w:sz w:val="22"/>
          <w:szCs w:val="22"/>
        </w:rPr>
        <w:t xml:space="preserve"> to detect </w:t>
      </w:r>
      <w:r w:rsidR="00C32453" w:rsidRPr="00BA76EA">
        <w:rPr>
          <w:rFonts w:ascii="Times New Roman" w:hAnsi="Times New Roman" w:cs="Times New Roman"/>
          <w:sz w:val="22"/>
          <w:szCs w:val="22"/>
        </w:rPr>
        <w:t>epigenetic modifications of the CXCL-8 gene</w:t>
      </w:r>
      <w:r w:rsidR="00C32453" w:rsidRPr="00BA76EA">
        <w:rPr>
          <w:rFonts w:ascii="Times New Roman" w:hAnsi="Times New Roman" w:cs="Times New Roman"/>
          <w:sz w:val="22"/>
          <w:szCs w:val="22"/>
          <w:vertAlign w:val="superscript"/>
        </w:rPr>
        <w:t>13</w:t>
      </w:r>
      <w:r w:rsidR="00D60B43" w:rsidRPr="00BA76EA">
        <w:rPr>
          <w:rFonts w:ascii="Times New Roman" w:hAnsi="Times New Roman" w:cs="Times New Roman"/>
          <w:sz w:val="22"/>
          <w:szCs w:val="22"/>
          <w:vertAlign w:val="superscript"/>
        </w:rPr>
        <w:t>, 23</w:t>
      </w:r>
      <w:r w:rsidR="00C32453" w:rsidRPr="00BA76EA">
        <w:rPr>
          <w:rFonts w:ascii="Times New Roman" w:hAnsi="Times New Roman" w:cs="Times New Roman"/>
          <w:sz w:val="22"/>
          <w:szCs w:val="22"/>
        </w:rPr>
        <w:t>. This product is not the full gene, but a 173 bp segment of it containing regions that might be methylated</w:t>
      </w:r>
      <w:r w:rsidR="00D60B43" w:rsidRPr="00BA76EA">
        <w:rPr>
          <w:rFonts w:ascii="Times New Roman" w:hAnsi="Times New Roman" w:cs="Times New Roman"/>
          <w:sz w:val="22"/>
          <w:szCs w:val="22"/>
          <w:vertAlign w:val="superscript"/>
        </w:rPr>
        <w:t>2</w:t>
      </w:r>
      <w:r w:rsidR="00C32453" w:rsidRPr="00BA76EA">
        <w:rPr>
          <w:rFonts w:ascii="Times New Roman" w:hAnsi="Times New Roman" w:cs="Times New Roman"/>
          <w:sz w:val="22"/>
          <w:szCs w:val="22"/>
          <w:vertAlign w:val="superscript"/>
        </w:rPr>
        <w:t>3</w:t>
      </w:r>
      <w:r w:rsidR="00C32453" w:rsidRPr="00BA76EA">
        <w:rPr>
          <w:rFonts w:ascii="Times New Roman" w:hAnsi="Times New Roman" w:cs="Times New Roman"/>
          <w:sz w:val="22"/>
          <w:szCs w:val="22"/>
        </w:rPr>
        <w:t xml:space="preserve">. </w:t>
      </w:r>
      <w:r w:rsidR="006212F1" w:rsidRPr="00BA76EA">
        <w:rPr>
          <w:rFonts w:ascii="Times New Roman" w:hAnsi="Times New Roman" w:cs="Times New Roman"/>
          <w:sz w:val="22"/>
          <w:szCs w:val="22"/>
        </w:rPr>
        <w:t>Once the primers are added to the samples, the PCR will be used to amplify the CXCL-8 gene and determine whether methylation is present.</w:t>
      </w:r>
      <w:r w:rsidR="006A316A" w:rsidRPr="00BA76EA">
        <w:rPr>
          <w:rFonts w:ascii="Times New Roman" w:hAnsi="Times New Roman" w:cs="Times New Roman"/>
          <w:sz w:val="22"/>
          <w:szCs w:val="22"/>
        </w:rPr>
        <w:t xml:space="preserve"> Electrophoresis will be run on the amplified samples and the DNA bands will be detected using SYBR Gold stain</w:t>
      </w:r>
      <w:r w:rsidR="006A316A" w:rsidRPr="00BA76EA">
        <w:rPr>
          <w:rFonts w:ascii="Times New Roman" w:hAnsi="Times New Roman" w:cs="Times New Roman"/>
          <w:sz w:val="22"/>
          <w:szCs w:val="22"/>
          <w:vertAlign w:val="superscript"/>
        </w:rPr>
        <w:t>22</w:t>
      </w:r>
      <w:r w:rsidR="00757236" w:rsidRPr="00BA76EA">
        <w:rPr>
          <w:rFonts w:ascii="Times New Roman" w:hAnsi="Times New Roman" w:cs="Times New Roman"/>
          <w:sz w:val="22"/>
          <w:szCs w:val="22"/>
          <w:vertAlign w:val="superscript"/>
        </w:rPr>
        <w:t>,23</w:t>
      </w:r>
      <w:r w:rsidR="006A316A" w:rsidRPr="00BA76EA">
        <w:rPr>
          <w:rFonts w:ascii="Times New Roman" w:hAnsi="Times New Roman" w:cs="Times New Roman"/>
          <w:sz w:val="22"/>
          <w:szCs w:val="22"/>
        </w:rPr>
        <w:t>.</w:t>
      </w:r>
      <w:r w:rsidR="0097082F" w:rsidRPr="00BA76EA">
        <w:rPr>
          <w:rFonts w:ascii="Times New Roman" w:hAnsi="Times New Roman" w:cs="Times New Roman"/>
          <w:sz w:val="22"/>
          <w:szCs w:val="22"/>
        </w:rPr>
        <w:t xml:space="preserve"> SYBR gold stain fluoresces when it binds to DNA and is visible using 300 nm ultraviolet light</w:t>
      </w:r>
      <w:r w:rsidR="0097082F" w:rsidRPr="00BA76EA">
        <w:rPr>
          <w:rFonts w:ascii="Times New Roman" w:hAnsi="Times New Roman" w:cs="Times New Roman"/>
          <w:sz w:val="22"/>
          <w:szCs w:val="22"/>
          <w:vertAlign w:val="superscript"/>
        </w:rPr>
        <w:t>22</w:t>
      </w:r>
      <w:r w:rsidR="0097082F" w:rsidRPr="00BA76EA">
        <w:rPr>
          <w:rFonts w:ascii="Times New Roman" w:hAnsi="Times New Roman" w:cs="Times New Roman"/>
          <w:sz w:val="22"/>
          <w:szCs w:val="22"/>
        </w:rPr>
        <w:t>.</w:t>
      </w:r>
    </w:p>
    <w:p w14:paraId="3B5384A1" w14:textId="003100BE" w:rsidR="00C740B6" w:rsidRPr="00BA76EA" w:rsidRDefault="00C740B6" w:rsidP="00BA76EA">
      <w:pPr>
        <w:rPr>
          <w:rFonts w:ascii="Times New Roman" w:hAnsi="Times New Roman" w:cs="Times New Roman"/>
          <w:sz w:val="22"/>
          <w:szCs w:val="22"/>
        </w:rPr>
      </w:pPr>
    </w:p>
    <w:p w14:paraId="2E7F949E" w14:textId="10602F36" w:rsidR="00C740B6" w:rsidRPr="00BA76EA" w:rsidRDefault="00C740B6" w:rsidP="00BA76EA">
      <w:pPr>
        <w:rPr>
          <w:rFonts w:ascii="Times New Roman" w:hAnsi="Times New Roman" w:cs="Times New Roman"/>
          <w:b/>
          <w:bCs/>
          <w:sz w:val="22"/>
          <w:szCs w:val="22"/>
        </w:rPr>
      </w:pPr>
      <w:r w:rsidRPr="00BA76EA">
        <w:rPr>
          <w:rFonts w:ascii="Times New Roman" w:hAnsi="Times New Roman" w:cs="Times New Roman"/>
          <w:b/>
          <w:bCs/>
          <w:sz w:val="22"/>
          <w:szCs w:val="22"/>
        </w:rPr>
        <w:t>III. Discussion</w:t>
      </w:r>
    </w:p>
    <w:p w14:paraId="424C7622" w14:textId="2BB267BD" w:rsidR="00624E54" w:rsidRPr="00BA76EA" w:rsidRDefault="00624E54" w:rsidP="00BA76EA">
      <w:pPr>
        <w:rPr>
          <w:rFonts w:ascii="Times New Roman" w:hAnsi="Times New Roman" w:cs="Times New Roman"/>
          <w:sz w:val="22"/>
          <w:szCs w:val="22"/>
        </w:rPr>
      </w:pPr>
    </w:p>
    <w:p w14:paraId="7AC058B5" w14:textId="7642989F" w:rsidR="0097082F" w:rsidRPr="00BA76EA" w:rsidRDefault="0029424C"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66432" behindDoc="0" locked="0" layoutInCell="1" allowOverlap="1" wp14:anchorId="5EEE078E" wp14:editId="452C2F42">
                <wp:simplePos x="0" y="0"/>
                <wp:positionH relativeFrom="column">
                  <wp:posOffset>4417532</wp:posOffset>
                </wp:positionH>
                <wp:positionV relativeFrom="paragraph">
                  <wp:posOffset>123414</wp:posOffset>
                </wp:positionV>
                <wp:extent cx="1715512" cy="1084332"/>
                <wp:effectExtent l="0" t="0" r="12065" b="8255"/>
                <wp:wrapNone/>
                <wp:docPr id="8" name="Text Box 8"/>
                <wp:cNvGraphicFramePr/>
                <a:graphic xmlns:a="http://schemas.openxmlformats.org/drawingml/2006/main">
                  <a:graphicData uri="http://schemas.microsoft.com/office/word/2010/wordprocessingShape">
                    <wps:wsp>
                      <wps:cNvSpPr txBox="1"/>
                      <wps:spPr>
                        <a:xfrm>
                          <a:off x="0" y="0"/>
                          <a:ext cx="1715512" cy="1084332"/>
                        </a:xfrm>
                        <a:prstGeom prst="rect">
                          <a:avLst/>
                        </a:prstGeom>
                        <a:solidFill>
                          <a:schemeClr val="lt1"/>
                        </a:solidFill>
                        <a:ln w="6350">
                          <a:solidFill>
                            <a:prstClr val="black"/>
                          </a:solidFill>
                        </a:ln>
                      </wps:spPr>
                      <wps:txbx>
                        <w:txbxContent>
                          <w:p w14:paraId="13D05270" w14:textId="2C622D0C" w:rsidR="001E0B86" w:rsidRPr="00C04603" w:rsidRDefault="001E0B86">
                            <w:pPr>
                              <w:rPr>
                                <w:rFonts w:ascii="Times New Roman" w:hAnsi="Times New Roman" w:cs="Times New Roman"/>
                                <w:b/>
                                <w:bCs/>
                                <w:sz w:val="12"/>
                                <w:szCs w:val="12"/>
                              </w:rPr>
                            </w:pPr>
                            <w:r w:rsidRPr="00C04603">
                              <w:rPr>
                                <w:rFonts w:ascii="Times New Roman" w:hAnsi="Times New Roman" w:cs="Times New Roman"/>
                                <w:b/>
                                <w:bCs/>
                                <w:sz w:val="12"/>
                                <w:szCs w:val="12"/>
                              </w:rPr>
                              <w:t>Figure 5:</w:t>
                            </w:r>
                          </w:p>
                          <w:p w14:paraId="4D66E160" w14:textId="18023E21" w:rsidR="001E0B86" w:rsidRPr="00C04603" w:rsidRDefault="00C04603" w:rsidP="00C04603">
                            <w:pPr>
                              <w:rPr>
                                <w:rFonts w:ascii="Times New Roman" w:hAnsi="Times New Roman" w:cs="Times New Roman"/>
                                <w:sz w:val="12"/>
                                <w:szCs w:val="12"/>
                              </w:rPr>
                            </w:pPr>
                            <w:r w:rsidRPr="00C04603">
                              <w:rPr>
                                <w:rFonts w:ascii="Times New Roman" w:hAnsi="Times New Roman" w:cs="Times New Roman"/>
                                <w:sz w:val="12"/>
                                <w:szCs w:val="12"/>
                              </w:rPr>
                              <w:t>Figure 5a shows the ideal results in which the control sample has both  methylated and unmethylated sequences which was used in the study by Andia et al. (2010)</w:t>
                            </w:r>
                            <w:r w:rsidRPr="00C04603">
                              <w:rPr>
                                <w:rFonts w:ascii="Times New Roman" w:hAnsi="Times New Roman" w:cs="Times New Roman"/>
                                <w:sz w:val="12"/>
                                <w:szCs w:val="12"/>
                                <w:vertAlign w:val="superscript"/>
                              </w:rPr>
                              <w:t>13</w:t>
                            </w:r>
                            <w:r w:rsidRPr="00C04603">
                              <w:rPr>
                                <w:rFonts w:ascii="Times New Roman" w:hAnsi="Times New Roman" w:cs="Times New Roman"/>
                                <w:sz w:val="12"/>
                                <w:szCs w:val="12"/>
                              </w:rPr>
                              <w:t>. Over time, there is a permanent pattern of unmethylated CXCL-8 gene.</w:t>
                            </w:r>
                          </w:p>
                          <w:p w14:paraId="2916470A" w14:textId="1CB5A254" w:rsidR="00C04603" w:rsidRPr="00C04603" w:rsidRDefault="00C04603" w:rsidP="00C04603">
                            <w:pPr>
                              <w:rPr>
                                <w:rFonts w:ascii="Times New Roman" w:hAnsi="Times New Roman" w:cs="Times New Roman"/>
                                <w:sz w:val="12"/>
                                <w:szCs w:val="12"/>
                              </w:rPr>
                            </w:pPr>
                            <w:r w:rsidRPr="00C04603">
                              <w:rPr>
                                <w:rFonts w:ascii="Times New Roman" w:hAnsi="Times New Roman" w:cs="Times New Roman"/>
                                <w:sz w:val="12"/>
                                <w:szCs w:val="12"/>
                              </w:rPr>
                              <w:t>Figure 5b shows another possible result in which the initial response to LPS is hypomethylation of CXCL-8, however over time, the CXCL-8 returns to normal methylation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E078E" id="Text Box 8" o:spid="_x0000_s1030" type="#_x0000_t202" style="position:absolute;margin-left:347.85pt;margin-top:9.7pt;width:135.1pt;height:8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AfXUAIAAKkEAAAOAAAAZHJzL2Uyb0RvYy54bWysVE1v2zAMvQ/YfxB0X2zno82MOEWWIsOA&#13;&#10;oi2QDD0rshwbk0VNUmJnv36UbKdpt9Owi0yJT0/kI+nFXVtLchLGVqAymoxiSoTikFfqkNHvu82n&#13;&#10;OSXWMZUzCUpk9CwsvVt+/LBodCrGUILMhSFIomza6IyWzuk0iiwvRc3sCLRQ6CzA1Mzh1hyi3LAG&#13;&#10;2WsZjeP4JmrA5NoAF9bi6X3npMvAXxSCu6eisMIRmVGMzYXVhHXv12i5YOnBMF1WvA+D/UMUNasU&#13;&#10;PnqhumeOkaOp/qCqK27AQuFGHOoIiqLiIuSA2STxu2y2JdMi5ILiWH2Ryf4/Wv54ejakyjOKhVKs&#13;&#10;xhLtROvIF2jJ3KvTaJsiaKsR5lo8xioP5xYPfdJtYWr/xXQI+lHn80VbT8b9pdtkNkvGlHD0JfF8&#13;&#10;OpmMPU/0el0b674KqIk3MmqweEFTdnqwroMOEP+aBVnlm0rKsPENI9bSkBPDUksXgkTyNyipSJPR&#13;&#10;m8ksDsRvfJ76cn8vGf/Rh3eFQj6pMGYvSpe8t1y7b4OE00GYPeRn1MtA129W802F9A/MumdmsMFQ&#13;&#10;Ihwa94RLIQFjgt6ipATz62/nHo91Ry8lDTZsRu3PIzOCEvlNYUd8TqZT3+FhM53djnFjrj37a486&#13;&#10;1mtAoRIcT82D6fFODmZhoH7B2Vr5V9HFFMe3M+oGc+26McLZ5GK1CiDsac3cg9pq7ql9Ybysu/aF&#13;&#10;Gd2X1WFHPMLQ2ix9V90O628qWB0dFFUovde5U7WXH+chNE8/u37grvcB9fqHWf4GAAD//wMAUEsD&#13;&#10;BBQABgAIAAAAIQBd4zPT4AAAAA8BAAAPAAAAZHJzL2Rvd25yZXYueG1sTE/LTsMwELwj8Q/WInGj&#13;&#10;DhUNcRqn4lG4cKIgztvYtS1iO4rdNPw92xNcVtqd2Xk0m9n3bNJjcjFIuF0UwHToonLBSPj8eLmp&#13;&#10;gKWMQWEfg5bwoxNs2suLBmsVT+FdT7tsGImEVKMEm/NQc546qz2mRRx0IOwQR4+Z1tFwNeKJxH3P&#13;&#10;l0VRco8ukIPFQT9Z3X3vjl7C9tEI01U42m2lnJvmr8ObeZXy+mp+XtN4WAPLes5/H3DuQPmhpWD7&#13;&#10;eAwqsV5CKVb3RCVA3AEjgihXAtj+fCiWwNuG/+/R/gIAAP//AwBQSwECLQAUAAYACAAAACEAtoM4&#13;&#10;kv4AAADhAQAAEwAAAAAAAAAAAAAAAAAAAAAAW0NvbnRlbnRfVHlwZXNdLnhtbFBLAQItABQABgAI&#13;&#10;AAAAIQA4/SH/1gAAAJQBAAALAAAAAAAAAAAAAAAAAC8BAABfcmVscy8ucmVsc1BLAQItABQABgAI&#13;&#10;AAAAIQClfAfXUAIAAKkEAAAOAAAAAAAAAAAAAAAAAC4CAABkcnMvZTJvRG9jLnhtbFBLAQItABQA&#13;&#10;BgAIAAAAIQBd4zPT4AAAAA8BAAAPAAAAAAAAAAAAAAAAAKoEAABkcnMvZG93bnJldi54bWxQSwUG&#13;&#10;AAAAAAQABADzAAAAtwUAAAAA&#13;&#10;" fillcolor="white [3201]" strokeweight=".5pt">
                <v:textbox>
                  <w:txbxContent>
                    <w:p w14:paraId="13D05270" w14:textId="2C622D0C" w:rsidR="001E0B86" w:rsidRPr="00C04603" w:rsidRDefault="001E0B86">
                      <w:pPr>
                        <w:rPr>
                          <w:rFonts w:ascii="Times New Roman" w:hAnsi="Times New Roman" w:cs="Times New Roman"/>
                          <w:b/>
                          <w:bCs/>
                          <w:sz w:val="12"/>
                          <w:szCs w:val="12"/>
                        </w:rPr>
                      </w:pPr>
                      <w:r w:rsidRPr="00C04603">
                        <w:rPr>
                          <w:rFonts w:ascii="Times New Roman" w:hAnsi="Times New Roman" w:cs="Times New Roman"/>
                          <w:b/>
                          <w:bCs/>
                          <w:sz w:val="12"/>
                          <w:szCs w:val="12"/>
                        </w:rPr>
                        <w:t>Figure 5:</w:t>
                      </w:r>
                    </w:p>
                    <w:p w14:paraId="4D66E160" w14:textId="18023E21" w:rsidR="001E0B86" w:rsidRPr="00C04603" w:rsidRDefault="00C04603" w:rsidP="00C04603">
                      <w:pPr>
                        <w:rPr>
                          <w:rFonts w:ascii="Times New Roman" w:hAnsi="Times New Roman" w:cs="Times New Roman"/>
                          <w:sz w:val="12"/>
                          <w:szCs w:val="12"/>
                        </w:rPr>
                      </w:pPr>
                      <w:r w:rsidRPr="00C04603">
                        <w:rPr>
                          <w:rFonts w:ascii="Times New Roman" w:hAnsi="Times New Roman" w:cs="Times New Roman"/>
                          <w:sz w:val="12"/>
                          <w:szCs w:val="12"/>
                        </w:rPr>
                        <w:t>Figure 5a shows the ideal results in which the control sample has both  methylated and unmethylated sequences which was used in the study by Andia et al. (2010)</w:t>
                      </w:r>
                      <w:r w:rsidRPr="00C04603">
                        <w:rPr>
                          <w:rFonts w:ascii="Times New Roman" w:hAnsi="Times New Roman" w:cs="Times New Roman"/>
                          <w:sz w:val="12"/>
                          <w:szCs w:val="12"/>
                          <w:vertAlign w:val="superscript"/>
                        </w:rPr>
                        <w:t>13</w:t>
                      </w:r>
                      <w:r w:rsidRPr="00C04603">
                        <w:rPr>
                          <w:rFonts w:ascii="Times New Roman" w:hAnsi="Times New Roman" w:cs="Times New Roman"/>
                          <w:sz w:val="12"/>
                          <w:szCs w:val="12"/>
                        </w:rPr>
                        <w:t>. Over time, there is a permanent pattern of unmethylated CXCL-8 gene.</w:t>
                      </w:r>
                    </w:p>
                    <w:p w14:paraId="2916470A" w14:textId="1CB5A254" w:rsidR="00C04603" w:rsidRPr="00C04603" w:rsidRDefault="00C04603" w:rsidP="00C04603">
                      <w:pPr>
                        <w:rPr>
                          <w:rFonts w:ascii="Times New Roman" w:hAnsi="Times New Roman" w:cs="Times New Roman"/>
                          <w:sz w:val="12"/>
                          <w:szCs w:val="12"/>
                        </w:rPr>
                      </w:pPr>
                      <w:r w:rsidRPr="00C04603">
                        <w:rPr>
                          <w:rFonts w:ascii="Times New Roman" w:hAnsi="Times New Roman" w:cs="Times New Roman"/>
                          <w:sz w:val="12"/>
                          <w:szCs w:val="12"/>
                        </w:rPr>
                        <w:t>Figure 5b shows another possible result in which the initial response to LPS is hypomethylation of CXCL-8, however over time, the CXCL-8 returns to normal methylation patterns.</w:t>
                      </w:r>
                    </w:p>
                  </w:txbxContent>
                </v:textbox>
              </v:shape>
            </w:pict>
          </mc:Fallback>
        </mc:AlternateContent>
      </w:r>
      <w:r w:rsidRPr="00BA76EA">
        <w:rPr>
          <w:rFonts w:ascii="Times New Roman" w:hAnsi="Times New Roman" w:cs="Times New Roman"/>
          <w:noProof/>
          <w:sz w:val="22"/>
          <w:szCs w:val="22"/>
        </w:rPr>
        <w:drawing>
          <wp:anchor distT="0" distB="0" distL="114300" distR="114300" simplePos="0" relativeHeight="251665408" behindDoc="1" locked="0" layoutInCell="1" allowOverlap="1" wp14:anchorId="12D3BD20" wp14:editId="39E4640B">
            <wp:simplePos x="0" y="0"/>
            <wp:positionH relativeFrom="column">
              <wp:posOffset>1609107</wp:posOffset>
            </wp:positionH>
            <wp:positionV relativeFrom="paragraph">
              <wp:posOffset>146909</wp:posOffset>
            </wp:positionV>
            <wp:extent cx="2788920" cy="1092200"/>
            <wp:effectExtent l="0" t="0" r="5080" b="0"/>
            <wp:wrapTight wrapText="left">
              <wp:wrapPolygon edited="0">
                <wp:start x="0" y="0"/>
                <wp:lineTo x="0" y="21349"/>
                <wp:lineTo x="21541" y="21349"/>
                <wp:lineTo x="215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1-30 at 4.04.07 PM.png"/>
                    <pic:cNvPicPr/>
                  </pic:nvPicPr>
                  <pic:blipFill>
                    <a:blip r:embed="rId12">
                      <a:extLst>
                        <a:ext uri="{28A0092B-C50C-407E-A947-70E740481C1C}">
                          <a14:useLocalDpi xmlns:a14="http://schemas.microsoft.com/office/drawing/2010/main" val="0"/>
                        </a:ext>
                      </a:extLst>
                    </a:blip>
                    <a:stretch>
                      <a:fillRect/>
                    </a:stretch>
                  </pic:blipFill>
                  <pic:spPr>
                    <a:xfrm>
                      <a:off x="0" y="0"/>
                      <a:ext cx="2788920" cy="1092200"/>
                    </a:xfrm>
                    <a:prstGeom prst="rect">
                      <a:avLst/>
                    </a:prstGeom>
                  </pic:spPr>
                </pic:pic>
              </a:graphicData>
            </a:graphic>
            <wp14:sizeRelH relativeFrom="margin">
              <wp14:pctWidth>0</wp14:pctWidth>
            </wp14:sizeRelH>
            <wp14:sizeRelV relativeFrom="margin">
              <wp14:pctHeight>0</wp14:pctHeight>
            </wp14:sizeRelV>
          </wp:anchor>
        </w:drawing>
      </w:r>
      <w:r w:rsidR="0097082F" w:rsidRPr="00BA76EA">
        <w:rPr>
          <w:rFonts w:ascii="Times New Roman" w:hAnsi="Times New Roman" w:cs="Times New Roman"/>
          <w:sz w:val="22"/>
          <w:szCs w:val="22"/>
        </w:rPr>
        <w:t>The ideal res</w:t>
      </w:r>
      <w:r w:rsidR="007248A8" w:rsidRPr="00BA76EA">
        <w:rPr>
          <w:rFonts w:ascii="Times New Roman" w:hAnsi="Times New Roman" w:cs="Times New Roman"/>
          <w:sz w:val="22"/>
          <w:szCs w:val="22"/>
        </w:rPr>
        <w:t>ult</w:t>
      </w:r>
      <w:r w:rsidR="0097082F" w:rsidRPr="00BA76EA">
        <w:rPr>
          <w:rFonts w:ascii="Times New Roman" w:hAnsi="Times New Roman" w:cs="Times New Roman"/>
          <w:sz w:val="22"/>
          <w:szCs w:val="22"/>
        </w:rPr>
        <w:t xml:space="preserve"> from this experiment </w:t>
      </w:r>
      <w:r w:rsidR="007248A8" w:rsidRPr="00BA76EA">
        <w:rPr>
          <w:rFonts w:ascii="Times New Roman" w:hAnsi="Times New Roman" w:cs="Times New Roman"/>
          <w:sz w:val="22"/>
          <w:szCs w:val="22"/>
        </w:rPr>
        <w:t xml:space="preserve">would be a constant </w:t>
      </w:r>
      <w:r w:rsidR="009E1300" w:rsidRPr="00BA76EA">
        <w:rPr>
          <w:rFonts w:ascii="Times New Roman" w:hAnsi="Times New Roman" w:cs="Times New Roman"/>
          <w:sz w:val="22"/>
          <w:szCs w:val="22"/>
        </w:rPr>
        <w:t>band</w:t>
      </w:r>
      <w:r w:rsidR="007248A8" w:rsidRPr="00BA76EA">
        <w:rPr>
          <w:rFonts w:ascii="Times New Roman" w:hAnsi="Times New Roman" w:cs="Times New Roman"/>
          <w:sz w:val="22"/>
          <w:szCs w:val="22"/>
        </w:rPr>
        <w:t xml:space="preserve"> of unmethylated CXCL-8 PCR product present on the gel for 24, 48, and 72 hours (Figure 5). This would indicate that there is constant hypomethylation of the CXCL-8 gene over time</w:t>
      </w:r>
      <w:r w:rsidR="00E04131" w:rsidRPr="00BA76EA">
        <w:rPr>
          <w:rFonts w:ascii="Times New Roman" w:hAnsi="Times New Roman" w:cs="Times New Roman"/>
          <w:sz w:val="22"/>
          <w:szCs w:val="22"/>
        </w:rPr>
        <w:t>. This might account for the prolonged inflammatory stage seen in chronic wounds when exposed to LPS. Another possible result would be that the bands remain the same as the control</w:t>
      </w:r>
      <w:r w:rsidR="001F0F54" w:rsidRPr="00BA76EA">
        <w:rPr>
          <w:rFonts w:ascii="Times New Roman" w:hAnsi="Times New Roman" w:cs="Times New Roman"/>
          <w:sz w:val="22"/>
          <w:szCs w:val="22"/>
        </w:rPr>
        <w:t xml:space="preserve"> after a period of time (Figure 5)</w:t>
      </w:r>
      <w:r w:rsidR="00E04131" w:rsidRPr="00BA76EA">
        <w:rPr>
          <w:rFonts w:ascii="Times New Roman" w:hAnsi="Times New Roman" w:cs="Times New Roman"/>
          <w:sz w:val="22"/>
          <w:szCs w:val="22"/>
        </w:rPr>
        <w:t>.</w:t>
      </w:r>
      <w:r w:rsidR="001F0F54" w:rsidRPr="00BA76EA">
        <w:rPr>
          <w:rFonts w:ascii="Times New Roman" w:hAnsi="Times New Roman" w:cs="Times New Roman"/>
          <w:sz w:val="22"/>
          <w:szCs w:val="22"/>
        </w:rPr>
        <w:t xml:space="preserve"> After immediate exposure to LPS, there would be a small amount of hypomethylation for the primary response which is seen in Figure 5b for the 24 hours band.</w:t>
      </w:r>
      <w:r w:rsidR="00E04131" w:rsidRPr="00BA76EA">
        <w:rPr>
          <w:rFonts w:ascii="Times New Roman" w:hAnsi="Times New Roman" w:cs="Times New Roman"/>
          <w:sz w:val="22"/>
          <w:szCs w:val="22"/>
        </w:rPr>
        <w:t xml:space="preserve"> This would indicate that</w:t>
      </w:r>
      <w:r w:rsidR="001F0F54" w:rsidRPr="00BA76EA">
        <w:rPr>
          <w:rFonts w:ascii="Times New Roman" w:hAnsi="Times New Roman" w:cs="Times New Roman"/>
          <w:sz w:val="22"/>
          <w:szCs w:val="22"/>
        </w:rPr>
        <w:t xml:space="preserve"> while there is temporary hypomethylation, there is no</w:t>
      </w:r>
      <w:r w:rsidR="00E04131" w:rsidRPr="00BA76EA">
        <w:rPr>
          <w:rFonts w:ascii="Times New Roman" w:hAnsi="Times New Roman" w:cs="Times New Roman"/>
          <w:sz w:val="22"/>
          <w:szCs w:val="22"/>
        </w:rPr>
        <w:t xml:space="preserve"> permanent hypomethylation of the </w:t>
      </w:r>
      <w:r w:rsidR="009E1300" w:rsidRPr="00BA76EA">
        <w:rPr>
          <w:rFonts w:ascii="Times New Roman" w:hAnsi="Times New Roman" w:cs="Times New Roman"/>
          <w:sz w:val="22"/>
          <w:szCs w:val="22"/>
        </w:rPr>
        <w:t>CXCL-8 gene</w:t>
      </w:r>
      <w:r w:rsidR="001F0F54" w:rsidRPr="00BA76EA">
        <w:rPr>
          <w:rFonts w:ascii="Times New Roman" w:hAnsi="Times New Roman" w:cs="Times New Roman"/>
          <w:sz w:val="22"/>
          <w:szCs w:val="22"/>
        </w:rPr>
        <w:t>. This would mean that permanent hypomethylation of the CXCL-8 gene does not contribute to the prolonged inflammatory stage seen in chronic wounds.</w:t>
      </w:r>
    </w:p>
    <w:p w14:paraId="280EB468" w14:textId="572BC0F6" w:rsidR="000901CD" w:rsidRPr="00BA76EA" w:rsidRDefault="000901CD" w:rsidP="00BA76EA">
      <w:pPr>
        <w:rPr>
          <w:rFonts w:ascii="Times New Roman" w:hAnsi="Times New Roman" w:cs="Times New Roman"/>
          <w:sz w:val="22"/>
          <w:szCs w:val="22"/>
        </w:rPr>
      </w:pPr>
    </w:p>
    <w:p w14:paraId="44968CA3" w14:textId="2E2ED963" w:rsidR="000901CD" w:rsidRPr="00BA76EA" w:rsidRDefault="00940096" w:rsidP="00BA76EA">
      <w:pPr>
        <w:rPr>
          <w:rFonts w:ascii="Times New Roman" w:hAnsi="Times New Roman" w:cs="Times New Roman"/>
          <w:sz w:val="22"/>
          <w:szCs w:val="22"/>
        </w:rPr>
      </w:pPr>
      <w:r w:rsidRPr="00BA76EA">
        <w:rPr>
          <w:rFonts w:ascii="Times New Roman" w:hAnsi="Times New Roman" w:cs="Times New Roman"/>
          <w:sz w:val="22"/>
          <w:szCs w:val="22"/>
        </w:rPr>
        <w:t>It is possible that</w:t>
      </w:r>
      <w:r w:rsidR="00882683" w:rsidRPr="00BA76EA">
        <w:rPr>
          <w:rFonts w:ascii="Times New Roman" w:hAnsi="Times New Roman" w:cs="Times New Roman"/>
          <w:sz w:val="22"/>
          <w:szCs w:val="22"/>
        </w:rPr>
        <w:t xml:space="preserve"> </w:t>
      </w:r>
      <w:r w:rsidR="00435374" w:rsidRPr="00BA76EA">
        <w:rPr>
          <w:rFonts w:ascii="Times New Roman" w:hAnsi="Times New Roman" w:cs="Times New Roman"/>
          <w:sz w:val="22"/>
          <w:szCs w:val="22"/>
        </w:rPr>
        <w:t>permanent hypomethylation will occur, but it might not be enough to be distinctly different from the normal methylation patterns</w:t>
      </w:r>
      <w:r w:rsidRPr="00BA76EA">
        <w:rPr>
          <w:rFonts w:ascii="Times New Roman" w:hAnsi="Times New Roman" w:cs="Times New Roman"/>
          <w:sz w:val="22"/>
          <w:szCs w:val="22"/>
        </w:rPr>
        <w:t xml:space="preserve"> when viewing the PCR product bands. </w:t>
      </w:r>
      <w:r w:rsidR="00491D4E" w:rsidRPr="00BA76EA">
        <w:rPr>
          <w:rFonts w:ascii="Times New Roman" w:hAnsi="Times New Roman" w:cs="Times New Roman"/>
          <w:sz w:val="22"/>
          <w:szCs w:val="22"/>
        </w:rPr>
        <w:t>However, as long as there is a constant pattern of unmethylated bands over time, then that would</w:t>
      </w:r>
      <w:r w:rsidR="00652DB1" w:rsidRPr="00BA76EA">
        <w:rPr>
          <w:rFonts w:ascii="Times New Roman" w:hAnsi="Times New Roman" w:cs="Times New Roman"/>
          <w:sz w:val="22"/>
          <w:szCs w:val="22"/>
        </w:rPr>
        <w:t xml:space="preserve"> be enough to</w:t>
      </w:r>
      <w:r w:rsidR="00491D4E" w:rsidRPr="00BA76EA">
        <w:rPr>
          <w:rFonts w:ascii="Times New Roman" w:hAnsi="Times New Roman" w:cs="Times New Roman"/>
          <w:sz w:val="22"/>
          <w:szCs w:val="22"/>
        </w:rPr>
        <w:t xml:space="preserve"> determine that there is permanent hypomethylation. </w:t>
      </w:r>
    </w:p>
    <w:p w14:paraId="5AB2206A" w14:textId="7E925FDD" w:rsidR="00491D4E" w:rsidRPr="00BA76EA" w:rsidRDefault="00491D4E" w:rsidP="00BA76EA">
      <w:pPr>
        <w:rPr>
          <w:rFonts w:ascii="Times New Roman" w:hAnsi="Times New Roman" w:cs="Times New Roman"/>
          <w:sz w:val="22"/>
          <w:szCs w:val="22"/>
        </w:rPr>
      </w:pPr>
    </w:p>
    <w:p w14:paraId="6FA76D68" w14:textId="6549FBAD" w:rsidR="000176FE" w:rsidRPr="00BA76EA" w:rsidRDefault="00491D4E" w:rsidP="00BA76EA">
      <w:pPr>
        <w:rPr>
          <w:rFonts w:ascii="Times New Roman" w:hAnsi="Times New Roman" w:cs="Times New Roman"/>
          <w:b/>
          <w:bCs/>
          <w:sz w:val="22"/>
          <w:szCs w:val="22"/>
        </w:rPr>
      </w:pPr>
      <w:r w:rsidRPr="00BA76EA">
        <w:rPr>
          <w:rFonts w:ascii="Times New Roman" w:hAnsi="Times New Roman" w:cs="Times New Roman"/>
          <w:sz w:val="22"/>
          <w:szCs w:val="22"/>
        </w:rPr>
        <w:t>While this e</w:t>
      </w:r>
      <w:r w:rsidRPr="00BA76EA">
        <w:rPr>
          <w:rFonts w:ascii="Times New Roman" w:hAnsi="Times New Roman" w:cs="Times New Roman"/>
          <w:sz w:val="22"/>
          <w:szCs w:val="22"/>
        </w:rPr>
        <w:t xml:space="preserve">xperiment exposes fibroblasts to LPS for a </w:t>
      </w:r>
      <w:r w:rsidRPr="00BA76EA">
        <w:rPr>
          <w:rFonts w:ascii="Times New Roman" w:hAnsi="Times New Roman" w:cs="Times New Roman"/>
          <w:sz w:val="22"/>
          <w:szCs w:val="22"/>
        </w:rPr>
        <w:t xml:space="preserve">longer amount of time to more accurately simulate the chronic wound environment, it is possible that 72 hours is not long enough to detect permanent epigenetic modifications to the CXCL-8 gene. Another possible experiment might be to expose the fibroblasts to LPS for a longer period of time to see whether the CXCL-8 gene has permanent hypomethylation. </w:t>
      </w:r>
      <w:r w:rsidR="00D703CE" w:rsidRPr="00BA76EA">
        <w:rPr>
          <w:rFonts w:ascii="Times New Roman" w:hAnsi="Times New Roman" w:cs="Times New Roman"/>
          <w:sz w:val="22"/>
          <w:szCs w:val="22"/>
        </w:rPr>
        <w:t>I</w:t>
      </w:r>
      <w:r w:rsidRPr="00BA76EA">
        <w:rPr>
          <w:rFonts w:ascii="Times New Roman" w:hAnsi="Times New Roman" w:cs="Times New Roman"/>
          <w:sz w:val="22"/>
          <w:szCs w:val="22"/>
        </w:rPr>
        <w:t>f hypomethylation is detected, then this indicates that exposure to LPS might prolong the inflammatory stage of chronic wounds because it means that proinflammatory cytokines are produced more frequently.</w:t>
      </w:r>
      <w:r w:rsidR="00D703CE" w:rsidRPr="00BA76EA">
        <w:rPr>
          <w:rFonts w:ascii="Times New Roman" w:hAnsi="Times New Roman" w:cs="Times New Roman"/>
          <w:sz w:val="22"/>
          <w:szCs w:val="22"/>
        </w:rPr>
        <w:t xml:space="preserve"> If this is the case, then further studies might be conducted from a pharmacological standpoint targeting hypomethylated proinflammatory cytokine genes.</w:t>
      </w:r>
    </w:p>
    <w:p w14:paraId="78F80400" w14:textId="5DBE62BE" w:rsidR="002D33A0" w:rsidRPr="00BA76EA" w:rsidRDefault="002D33A0" w:rsidP="00BA76EA">
      <w:pPr>
        <w:rPr>
          <w:rFonts w:ascii="Times New Roman" w:hAnsi="Times New Roman" w:cs="Times New Roman"/>
          <w:b/>
          <w:bCs/>
          <w:sz w:val="22"/>
          <w:szCs w:val="22"/>
        </w:rPr>
      </w:pPr>
    </w:p>
    <w:p w14:paraId="6BDEFED8" w14:textId="64E38CEB" w:rsidR="002D33A0" w:rsidRPr="00BA76EA" w:rsidRDefault="002D33A0" w:rsidP="00BA76EA">
      <w:pPr>
        <w:rPr>
          <w:rFonts w:ascii="Times New Roman" w:hAnsi="Times New Roman" w:cs="Times New Roman"/>
          <w:b/>
          <w:bCs/>
          <w:sz w:val="22"/>
          <w:szCs w:val="22"/>
        </w:rPr>
      </w:pPr>
    </w:p>
    <w:p w14:paraId="08A1F54E" w14:textId="484C7452" w:rsidR="002D33A0" w:rsidRPr="00BA76EA" w:rsidRDefault="002D33A0" w:rsidP="00BA76EA">
      <w:pPr>
        <w:rPr>
          <w:rFonts w:ascii="Times New Roman" w:hAnsi="Times New Roman" w:cs="Times New Roman"/>
          <w:b/>
          <w:bCs/>
          <w:sz w:val="22"/>
          <w:szCs w:val="22"/>
        </w:rPr>
      </w:pPr>
    </w:p>
    <w:p w14:paraId="38175677" w14:textId="725CE38D" w:rsidR="002D33A0" w:rsidRPr="00BA76EA" w:rsidRDefault="002D33A0" w:rsidP="00BA76EA">
      <w:pPr>
        <w:rPr>
          <w:rFonts w:ascii="Times New Roman" w:hAnsi="Times New Roman" w:cs="Times New Roman"/>
          <w:b/>
          <w:bCs/>
          <w:sz w:val="22"/>
          <w:szCs w:val="22"/>
        </w:rPr>
      </w:pPr>
    </w:p>
    <w:p w14:paraId="70928DA2" w14:textId="77777777" w:rsidR="002D33A0" w:rsidRPr="00BA76EA" w:rsidRDefault="002D33A0" w:rsidP="00BA76EA">
      <w:pPr>
        <w:rPr>
          <w:rFonts w:ascii="Times New Roman" w:hAnsi="Times New Roman" w:cs="Times New Roman"/>
          <w:b/>
          <w:bCs/>
          <w:sz w:val="22"/>
          <w:szCs w:val="22"/>
        </w:rPr>
      </w:pPr>
    </w:p>
    <w:p w14:paraId="5D8FF9F6" w14:textId="0C56DDE1" w:rsidR="000176FE" w:rsidRPr="00BA76EA" w:rsidRDefault="000176FE" w:rsidP="00BA76EA">
      <w:pPr>
        <w:rPr>
          <w:rFonts w:ascii="Times New Roman" w:hAnsi="Times New Roman" w:cs="Times New Roman"/>
          <w:b/>
          <w:bCs/>
          <w:sz w:val="22"/>
          <w:szCs w:val="22"/>
        </w:rPr>
      </w:pPr>
    </w:p>
    <w:p w14:paraId="3676C541" w14:textId="16762586" w:rsidR="00E815D1" w:rsidRPr="00BA76EA" w:rsidRDefault="00E815D1" w:rsidP="00BA76EA">
      <w:pPr>
        <w:rPr>
          <w:rFonts w:ascii="Times New Roman" w:hAnsi="Times New Roman" w:cs="Times New Roman"/>
          <w:sz w:val="22"/>
          <w:szCs w:val="22"/>
        </w:rPr>
      </w:pPr>
    </w:p>
    <w:p w14:paraId="20EC9D37" w14:textId="45B0E51A" w:rsidR="00C642D9" w:rsidRPr="00BA76EA" w:rsidRDefault="00D740C4" w:rsidP="00BA76EA">
      <w:pPr>
        <w:jc w:val="center"/>
        <w:rPr>
          <w:rFonts w:ascii="Times New Roman" w:hAnsi="Times New Roman" w:cs="Times New Roman"/>
          <w:b/>
          <w:bCs/>
          <w:sz w:val="22"/>
          <w:szCs w:val="22"/>
        </w:rPr>
      </w:pPr>
      <w:r w:rsidRPr="00BA76EA">
        <w:rPr>
          <w:rFonts w:ascii="Times New Roman" w:hAnsi="Times New Roman" w:cs="Times New Roman"/>
          <w:b/>
          <w:bCs/>
          <w:sz w:val="22"/>
          <w:szCs w:val="22"/>
        </w:rPr>
        <w:lastRenderedPageBreak/>
        <w:t>Referenc</w:t>
      </w:r>
      <w:bookmarkStart w:id="0" w:name="_GoBack"/>
      <w:bookmarkEnd w:id="0"/>
      <w:r w:rsidRPr="00BA76EA">
        <w:rPr>
          <w:rFonts w:ascii="Times New Roman" w:hAnsi="Times New Roman" w:cs="Times New Roman"/>
          <w:b/>
          <w:bCs/>
          <w:sz w:val="22"/>
          <w:szCs w:val="22"/>
        </w:rPr>
        <w:t>es</w:t>
      </w:r>
    </w:p>
    <w:p w14:paraId="73B65031" w14:textId="5D99A032" w:rsidR="00FA2BDC" w:rsidRPr="00BA76EA" w:rsidRDefault="00FA2BDC" w:rsidP="00BA76EA">
      <w:pPr>
        <w:pStyle w:val="ListParagraph"/>
        <w:rPr>
          <w:rFonts w:ascii="Times New Roman" w:hAnsi="Times New Roman" w:cs="Times New Roman"/>
          <w:b/>
          <w:bCs/>
          <w:sz w:val="22"/>
          <w:szCs w:val="22"/>
        </w:rPr>
      </w:pPr>
    </w:p>
    <w:p w14:paraId="3EFD7303" w14:textId="6E4557F5" w:rsidR="00FA2BDC" w:rsidRPr="00BA76EA" w:rsidRDefault="00FA2BDC"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 xml:space="preserve">Maynard, J.  (2015). How Wounds Heal: The 4 Main Phases of Wound Healing. </w:t>
      </w:r>
      <w:r w:rsidRPr="00BA76EA">
        <w:rPr>
          <w:rFonts w:ascii="Times New Roman" w:hAnsi="Times New Roman" w:cs="Times New Roman"/>
          <w:sz w:val="22"/>
          <w:szCs w:val="22"/>
        </w:rPr>
        <w:t>http://www.shieldhealthcare.com/community/popular/2015/12/18/how-wounds-heal-the-4-main-phases-of-wound-healing/</w:t>
      </w:r>
    </w:p>
    <w:p w14:paraId="6D54523B" w14:textId="69A37647" w:rsidR="007E5147" w:rsidRPr="00BA76EA" w:rsidRDefault="00A65760"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 xml:space="preserve">Wallace, H. A., Basehore, B. M., &amp; Zito, P. M. </w:t>
      </w:r>
      <w:r w:rsidR="00FA2BDC" w:rsidRPr="00BA76EA">
        <w:rPr>
          <w:rFonts w:ascii="Times New Roman" w:hAnsi="Times New Roman" w:cs="Times New Roman"/>
          <w:sz w:val="22"/>
          <w:szCs w:val="22"/>
        </w:rPr>
        <w:t xml:space="preserve">(2019). Wound Healing Phases. </w:t>
      </w:r>
      <w:r w:rsidR="00FA2BDC" w:rsidRPr="00BA76EA">
        <w:rPr>
          <w:rFonts w:ascii="Times New Roman" w:hAnsi="Times New Roman" w:cs="Times New Roman"/>
          <w:sz w:val="22"/>
          <w:szCs w:val="22"/>
        </w:rPr>
        <w:t>https://www.ncbi.nlm.nih.gov/books/NBK470443/</w:t>
      </w:r>
      <w:r w:rsidR="00FA2BDC" w:rsidRPr="00BA76EA">
        <w:rPr>
          <w:rFonts w:ascii="Times New Roman" w:hAnsi="Times New Roman" w:cs="Times New Roman"/>
          <w:sz w:val="22"/>
          <w:szCs w:val="22"/>
        </w:rPr>
        <w:t xml:space="preserve">  </w:t>
      </w:r>
    </w:p>
    <w:p w14:paraId="5C2F251D" w14:textId="6ECBE732" w:rsidR="007E5147" w:rsidRPr="00BA76EA" w:rsidRDefault="00FA2BDC"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 xml:space="preserve">de Moya, M. A., Phan, H. H., Montero, P. M., Stefanidis, D., &amp; Cahalane, M. J. (n.d.) Non-healing wounds. </w:t>
      </w:r>
      <w:r w:rsidRPr="00BA76EA">
        <w:rPr>
          <w:rFonts w:ascii="Times New Roman" w:hAnsi="Times New Roman" w:cs="Times New Roman"/>
          <w:i/>
          <w:iCs/>
          <w:sz w:val="22"/>
          <w:szCs w:val="22"/>
        </w:rPr>
        <w:t>American College of Surgeons Division of Education</w:t>
      </w:r>
      <w:r w:rsidRPr="00BA76EA">
        <w:rPr>
          <w:rFonts w:ascii="Times New Roman" w:hAnsi="Times New Roman" w:cs="Times New Roman"/>
          <w:sz w:val="22"/>
          <w:szCs w:val="22"/>
        </w:rPr>
        <w:t xml:space="preserve">, 1-36. </w:t>
      </w:r>
      <w:r w:rsidRPr="00BA76EA">
        <w:rPr>
          <w:rFonts w:ascii="Times New Roman" w:hAnsi="Times New Roman" w:cs="Times New Roman"/>
          <w:sz w:val="22"/>
          <w:szCs w:val="22"/>
        </w:rPr>
        <w:t>https://www.facs.org/-/media/files/education/core-curriculum/nonhealing_wounds.ashx</w:t>
      </w:r>
    </w:p>
    <w:p w14:paraId="1535BE8B" w14:textId="77777777" w:rsidR="009341DA" w:rsidRPr="00BA76EA" w:rsidRDefault="009341DA"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Flavell, S. J., Hou, T. Z., Lax, S., Filer, A. D., Salmon, M., &amp; Buckley, C. D. (2008). Fibroblasts as novel therapeutic targets in chronic inflammation. British Journal of Pharmacology, </w:t>
      </w:r>
      <w:r w:rsidRPr="00BA76EA">
        <w:rPr>
          <w:rFonts w:ascii="Times New Roman" w:hAnsi="Times New Roman" w:cs="Times New Roman"/>
          <w:i/>
          <w:iCs/>
          <w:sz w:val="22"/>
          <w:szCs w:val="22"/>
        </w:rPr>
        <w:t>153</w:t>
      </w:r>
      <w:r w:rsidRPr="00BA76EA">
        <w:rPr>
          <w:rFonts w:ascii="Times New Roman" w:hAnsi="Times New Roman" w:cs="Times New Roman"/>
          <w:sz w:val="22"/>
          <w:szCs w:val="22"/>
        </w:rPr>
        <w:t>(SUPPL. 1), 241–246. https://doi.org/10.1038/sj.bjp.0707487</w:t>
      </w:r>
    </w:p>
    <w:p w14:paraId="0EAB497E" w14:textId="7CE391EB" w:rsidR="007E5147" w:rsidRPr="00BA76EA" w:rsidRDefault="00117F87"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Jordana</w:t>
      </w:r>
      <w:r w:rsidR="00FA2BDC" w:rsidRPr="00BA76EA">
        <w:rPr>
          <w:rFonts w:ascii="Times New Roman" w:hAnsi="Times New Roman" w:cs="Times New Roman"/>
          <w:sz w:val="22"/>
          <w:szCs w:val="22"/>
        </w:rPr>
        <w:t xml:space="preserve"> M.</w:t>
      </w:r>
      <w:r w:rsidRPr="00BA76EA">
        <w:rPr>
          <w:rFonts w:ascii="Times New Roman" w:hAnsi="Times New Roman" w:cs="Times New Roman"/>
          <w:sz w:val="22"/>
          <w:szCs w:val="22"/>
        </w:rPr>
        <w:t xml:space="preserve">, </w:t>
      </w:r>
      <w:r w:rsidR="00FA2BDC" w:rsidRPr="00BA76EA">
        <w:rPr>
          <w:rFonts w:ascii="Times New Roman" w:hAnsi="Times New Roman" w:cs="Times New Roman"/>
          <w:sz w:val="22"/>
          <w:szCs w:val="22"/>
        </w:rPr>
        <w:t>S</w:t>
      </w:r>
      <w:r w:rsidRPr="00BA76EA">
        <w:rPr>
          <w:rFonts w:ascii="Times New Roman" w:hAnsi="Times New Roman" w:cs="Times New Roman"/>
          <w:sz w:val="22"/>
          <w:szCs w:val="22"/>
        </w:rPr>
        <w:t>arnstrand</w:t>
      </w:r>
      <w:r w:rsidR="00FA2BDC" w:rsidRPr="00BA76EA">
        <w:rPr>
          <w:rFonts w:ascii="Times New Roman" w:hAnsi="Times New Roman" w:cs="Times New Roman"/>
          <w:sz w:val="22"/>
          <w:szCs w:val="22"/>
        </w:rPr>
        <w:t>, B.</w:t>
      </w:r>
      <w:r w:rsidRPr="00BA76EA">
        <w:rPr>
          <w:rFonts w:ascii="Times New Roman" w:hAnsi="Times New Roman" w:cs="Times New Roman"/>
          <w:sz w:val="22"/>
          <w:szCs w:val="22"/>
        </w:rPr>
        <w:t xml:space="preserve">, </w:t>
      </w:r>
      <w:r w:rsidR="00FA2BDC" w:rsidRPr="00BA76EA">
        <w:rPr>
          <w:rFonts w:ascii="Times New Roman" w:hAnsi="Times New Roman" w:cs="Times New Roman"/>
          <w:sz w:val="22"/>
          <w:szCs w:val="22"/>
        </w:rPr>
        <w:t>S</w:t>
      </w:r>
      <w:r w:rsidRPr="00BA76EA">
        <w:rPr>
          <w:rFonts w:ascii="Times New Roman" w:hAnsi="Times New Roman" w:cs="Times New Roman"/>
          <w:sz w:val="22"/>
          <w:szCs w:val="22"/>
        </w:rPr>
        <w:t>ime</w:t>
      </w:r>
      <w:r w:rsidR="00FA2BDC" w:rsidRPr="00BA76EA">
        <w:rPr>
          <w:rFonts w:ascii="Times New Roman" w:hAnsi="Times New Roman" w:cs="Times New Roman"/>
          <w:sz w:val="22"/>
          <w:szCs w:val="22"/>
        </w:rPr>
        <w:t>, P. J.</w:t>
      </w:r>
      <w:r w:rsidRPr="00BA76EA">
        <w:rPr>
          <w:rFonts w:ascii="Times New Roman" w:hAnsi="Times New Roman" w:cs="Times New Roman"/>
          <w:sz w:val="22"/>
          <w:szCs w:val="22"/>
        </w:rPr>
        <w:t xml:space="preserve">, </w:t>
      </w:r>
      <w:r w:rsidR="00FA2BDC" w:rsidRPr="00BA76EA">
        <w:rPr>
          <w:rFonts w:ascii="Times New Roman" w:hAnsi="Times New Roman" w:cs="Times New Roman"/>
          <w:sz w:val="22"/>
          <w:szCs w:val="22"/>
        </w:rPr>
        <w:t>R</w:t>
      </w:r>
      <w:r w:rsidRPr="00BA76EA">
        <w:rPr>
          <w:rFonts w:ascii="Times New Roman" w:hAnsi="Times New Roman" w:cs="Times New Roman"/>
          <w:sz w:val="22"/>
          <w:szCs w:val="22"/>
        </w:rPr>
        <w:t>amis</w:t>
      </w:r>
      <w:r w:rsidR="00FA2BDC" w:rsidRPr="00BA76EA">
        <w:rPr>
          <w:rFonts w:ascii="Times New Roman" w:hAnsi="Times New Roman" w:cs="Times New Roman"/>
          <w:sz w:val="22"/>
          <w:szCs w:val="22"/>
        </w:rPr>
        <w:t>, I.</w:t>
      </w:r>
      <w:r w:rsidRPr="00BA76EA">
        <w:rPr>
          <w:rFonts w:ascii="Times New Roman" w:hAnsi="Times New Roman" w:cs="Times New Roman"/>
          <w:sz w:val="22"/>
          <w:szCs w:val="22"/>
        </w:rPr>
        <w:t xml:space="preserve"> </w:t>
      </w:r>
      <w:r w:rsidR="00FA2BDC" w:rsidRPr="00BA76EA">
        <w:rPr>
          <w:rFonts w:ascii="Times New Roman" w:hAnsi="Times New Roman" w:cs="Times New Roman"/>
          <w:sz w:val="22"/>
          <w:szCs w:val="22"/>
        </w:rPr>
        <w:t>(</w:t>
      </w:r>
      <w:r w:rsidRPr="00BA76EA">
        <w:rPr>
          <w:rFonts w:ascii="Times New Roman" w:hAnsi="Times New Roman" w:cs="Times New Roman"/>
          <w:sz w:val="22"/>
          <w:szCs w:val="22"/>
        </w:rPr>
        <w:t>1994</w:t>
      </w:r>
      <w:r w:rsidR="00FA2BDC" w:rsidRPr="00BA76EA">
        <w:rPr>
          <w:rFonts w:ascii="Times New Roman" w:hAnsi="Times New Roman" w:cs="Times New Roman"/>
          <w:sz w:val="22"/>
          <w:szCs w:val="22"/>
        </w:rPr>
        <w:t>)</w:t>
      </w:r>
      <w:r w:rsidRPr="00BA76EA">
        <w:rPr>
          <w:rFonts w:ascii="Times New Roman" w:hAnsi="Times New Roman" w:cs="Times New Roman"/>
          <w:sz w:val="22"/>
          <w:szCs w:val="22"/>
        </w:rPr>
        <w:t xml:space="preserve"> Immune-inflammatory functions of fibroblasts</w:t>
      </w:r>
      <w:r w:rsidR="00FA2BDC" w:rsidRPr="00BA76EA">
        <w:rPr>
          <w:rFonts w:ascii="Times New Roman" w:hAnsi="Times New Roman" w:cs="Times New Roman"/>
          <w:sz w:val="22"/>
          <w:szCs w:val="22"/>
        </w:rPr>
        <w:t xml:space="preserve">. </w:t>
      </w:r>
      <w:r w:rsidR="00FA2BDC" w:rsidRPr="00BA76EA">
        <w:rPr>
          <w:rFonts w:ascii="Times New Roman" w:hAnsi="Times New Roman" w:cs="Times New Roman"/>
          <w:i/>
          <w:iCs/>
          <w:sz w:val="22"/>
          <w:szCs w:val="22"/>
        </w:rPr>
        <w:t>European Respiratory Journal</w:t>
      </w:r>
      <w:r w:rsidR="00FA2BDC" w:rsidRPr="00BA76EA">
        <w:rPr>
          <w:rFonts w:ascii="Times New Roman" w:hAnsi="Times New Roman" w:cs="Times New Roman"/>
          <w:sz w:val="22"/>
          <w:szCs w:val="22"/>
        </w:rPr>
        <w:t xml:space="preserve">, </w:t>
      </w:r>
      <w:r w:rsidR="00FA2BDC" w:rsidRPr="00BA76EA">
        <w:rPr>
          <w:rFonts w:ascii="Times New Roman" w:hAnsi="Times New Roman" w:cs="Times New Roman"/>
          <w:i/>
          <w:iCs/>
          <w:sz w:val="22"/>
          <w:szCs w:val="22"/>
        </w:rPr>
        <w:t>7</w:t>
      </w:r>
      <w:r w:rsidR="00FA2BDC" w:rsidRPr="00BA76EA">
        <w:rPr>
          <w:rFonts w:ascii="Times New Roman" w:hAnsi="Times New Roman" w:cs="Times New Roman"/>
          <w:sz w:val="22"/>
          <w:szCs w:val="22"/>
        </w:rPr>
        <w:t xml:space="preserve">(12), 2212-2222. </w:t>
      </w:r>
      <w:r w:rsidR="00C5357B" w:rsidRPr="00BA76EA">
        <w:rPr>
          <w:rFonts w:ascii="Times New Roman" w:hAnsi="Times New Roman" w:cs="Times New Roman"/>
          <w:sz w:val="22"/>
          <w:szCs w:val="22"/>
        </w:rPr>
        <w:t>doi:</w:t>
      </w:r>
      <w:r w:rsidR="00C5357B" w:rsidRPr="00BA76EA">
        <w:rPr>
          <w:rFonts w:ascii="Times New Roman" w:hAnsi="Times New Roman" w:cs="Times New Roman"/>
          <w:sz w:val="22"/>
          <w:szCs w:val="22"/>
        </w:rPr>
        <w:t xml:space="preserve"> 10.1183/09031936.94.07122212</w:t>
      </w:r>
    </w:p>
    <w:p w14:paraId="06124A89" w14:textId="5BAD4340" w:rsidR="00A43717" w:rsidRPr="00BA76EA" w:rsidRDefault="00A43717" w:rsidP="00BA76EA">
      <w:pPr>
        <w:pStyle w:val="ListParagraph"/>
        <w:widowControl w:val="0"/>
        <w:numPr>
          <w:ilvl w:val="0"/>
          <w:numId w:val="4"/>
        </w:numPr>
        <w:autoSpaceDE w:val="0"/>
        <w:autoSpaceDN w:val="0"/>
        <w:adjustRightInd w:val="0"/>
        <w:rPr>
          <w:rFonts w:ascii="Times New Roman" w:hAnsi="Times New Roman" w:cs="Times New Roman"/>
          <w:noProof/>
          <w:sz w:val="22"/>
          <w:szCs w:val="22"/>
        </w:rPr>
      </w:pPr>
      <w:r w:rsidRPr="00BA76EA">
        <w:rPr>
          <w:rFonts w:ascii="Times New Roman" w:hAnsi="Times New Roman" w:cs="Times New Roman"/>
          <w:noProof/>
          <w:sz w:val="22"/>
          <w:szCs w:val="22"/>
        </w:rPr>
        <w:t xml:space="preserve">Kandasamy, S., Green, B. B., Benjamin, A. L., &amp; Kerr, D. E. (2011). Between-cow variation in dermal fibroblast response to lipopolysaccharide reflected in resolution of inflammation during Escherichia coli mastitis. </w:t>
      </w:r>
      <w:r w:rsidRPr="00BA76EA">
        <w:rPr>
          <w:rFonts w:ascii="Times New Roman" w:hAnsi="Times New Roman" w:cs="Times New Roman"/>
          <w:i/>
          <w:iCs/>
          <w:noProof/>
          <w:sz w:val="22"/>
          <w:szCs w:val="22"/>
        </w:rPr>
        <w:t>Journal of Dairy Science</w:t>
      </w:r>
      <w:r w:rsidRPr="00BA76EA">
        <w:rPr>
          <w:rFonts w:ascii="Times New Roman" w:hAnsi="Times New Roman" w:cs="Times New Roman"/>
          <w:noProof/>
          <w:sz w:val="22"/>
          <w:szCs w:val="22"/>
        </w:rPr>
        <w:t xml:space="preserve">, </w:t>
      </w:r>
      <w:r w:rsidRPr="00BA76EA">
        <w:rPr>
          <w:rFonts w:ascii="Times New Roman" w:hAnsi="Times New Roman" w:cs="Times New Roman"/>
          <w:i/>
          <w:iCs/>
          <w:noProof/>
          <w:sz w:val="22"/>
          <w:szCs w:val="22"/>
        </w:rPr>
        <w:t>94</w:t>
      </w:r>
      <w:r w:rsidRPr="00BA76EA">
        <w:rPr>
          <w:rFonts w:ascii="Times New Roman" w:hAnsi="Times New Roman" w:cs="Times New Roman"/>
          <w:noProof/>
          <w:sz w:val="22"/>
          <w:szCs w:val="22"/>
        </w:rPr>
        <w:t>(12), 5963–5975. https://doi.org/10.3168/jds.2011-4288</w:t>
      </w:r>
    </w:p>
    <w:p w14:paraId="07EA3DE1" w14:textId="483BD7F1" w:rsidR="00117F87" w:rsidRPr="00BA76EA" w:rsidRDefault="00117F87"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Buckley, C. D., Pilling, D., Lord, J. M., Akbar, A. N., Scheel-Toellner, D., &amp; Salmon, M. (2001). Fibroblasts regulate the switch from acute resolving to chronic persistent inflammation. Trends in Immunology, </w:t>
      </w:r>
      <w:r w:rsidRPr="00BA76EA">
        <w:rPr>
          <w:rFonts w:ascii="Times New Roman" w:hAnsi="Times New Roman" w:cs="Times New Roman"/>
          <w:i/>
          <w:iCs/>
          <w:sz w:val="22"/>
          <w:szCs w:val="22"/>
        </w:rPr>
        <w:t>22</w:t>
      </w:r>
      <w:r w:rsidRPr="00BA76EA">
        <w:rPr>
          <w:rFonts w:ascii="Times New Roman" w:hAnsi="Times New Roman" w:cs="Times New Roman"/>
          <w:sz w:val="22"/>
          <w:szCs w:val="22"/>
        </w:rPr>
        <w:t xml:space="preserve">(4), 199–204. </w:t>
      </w:r>
      <w:r w:rsidR="0050151E" w:rsidRPr="00BA76EA">
        <w:rPr>
          <w:rFonts w:ascii="Times New Roman" w:hAnsi="Times New Roman" w:cs="Times New Roman"/>
          <w:sz w:val="22"/>
          <w:szCs w:val="22"/>
        </w:rPr>
        <w:t>https://doi.org/10.1016/S1471-4906(01)01863-4</w:t>
      </w:r>
    </w:p>
    <w:p w14:paraId="414B278C" w14:textId="0CC52955" w:rsidR="0050151E" w:rsidRPr="00BA76EA" w:rsidRDefault="00B1096E"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Bickel, M. (1993). </w:t>
      </w:r>
      <w:r w:rsidR="0050151E" w:rsidRPr="00BA76EA">
        <w:rPr>
          <w:rFonts w:ascii="Times New Roman" w:hAnsi="Times New Roman" w:cs="Times New Roman"/>
          <w:sz w:val="22"/>
          <w:szCs w:val="22"/>
        </w:rPr>
        <w:t>The role of interleukin-8 in inflammation and mechanisms of regulation</w:t>
      </w:r>
      <w:r w:rsidRPr="00BA76EA">
        <w:rPr>
          <w:rFonts w:ascii="Times New Roman" w:hAnsi="Times New Roman" w:cs="Times New Roman"/>
          <w:sz w:val="22"/>
          <w:szCs w:val="22"/>
        </w:rPr>
        <w:t xml:space="preserve">. </w:t>
      </w:r>
      <w:r w:rsidRPr="00BA76EA">
        <w:rPr>
          <w:rFonts w:ascii="Times New Roman" w:hAnsi="Times New Roman" w:cs="Times New Roman"/>
          <w:i/>
          <w:iCs/>
          <w:sz w:val="22"/>
          <w:szCs w:val="22"/>
        </w:rPr>
        <w:t>Journal of Periodontology</w:t>
      </w:r>
      <w:r w:rsidRPr="00BA76EA">
        <w:rPr>
          <w:rFonts w:ascii="Times New Roman" w:hAnsi="Times New Roman" w:cs="Times New Roman"/>
          <w:sz w:val="22"/>
          <w:szCs w:val="22"/>
        </w:rPr>
        <w:t xml:space="preserve">, </w:t>
      </w:r>
      <w:r w:rsidRPr="00BA76EA">
        <w:rPr>
          <w:rFonts w:ascii="Times New Roman" w:hAnsi="Times New Roman" w:cs="Times New Roman"/>
          <w:i/>
          <w:iCs/>
          <w:sz w:val="22"/>
          <w:szCs w:val="22"/>
        </w:rPr>
        <w:t>64</w:t>
      </w:r>
      <w:r w:rsidRPr="00BA76EA">
        <w:rPr>
          <w:rFonts w:ascii="Times New Roman" w:hAnsi="Times New Roman" w:cs="Times New Roman"/>
          <w:sz w:val="22"/>
          <w:szCs w:val="22"/>
        </w:rPr>
        <w:t xml:space="preserve">(5), 456-460. </w:t>
      </w:r>
      <w:r w:rsidR="009871EE" w:rsidRPr="00BA76EA">
        <w:rPr>
          <w:rFonts w:ascii="Times New Roman" w:hAnsi="Times New Roman" w:cs="Times New Roman"/>
          <w:sz w:val="22"/>
          <w:szCs w:val="22"/>
        </w:rPr>
        <w:t>https://www.ncbi.nlm.nih.gov/pubmed/8315568</w:t>
      </w:r>
    </w:p>
    <w:p w14:paraId="343F9DA4" w14:textId="693DBC61" w:rsidR="009871EE" w:rsidRPr="00BA76EA" w:rsidRDefault="009871EE"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Mukaida, N., Shiroo, M., &amp; Matsushima, K. (1989). Genomic structure of the human monocyte-derived chemotactic factor IL-8. </w:t>
      </w:r>
      <w:r w:rsidRPr="00BA76EA">
        <w:rPr>
          <w:rFonts w:ascii="Times New Roman" w:hAnsi="Times New Roman" w:cs="Times New Roman"/>
          <w:i/>
          <w:iCs/>
          <w:sz w:val="22"/>
          <w:szCs w:val="22"/>
        </w:rPr>
        <w:t>Journal of Immunology</w:t>
      </w:r>
      <w:r w:rsidRPr="00BA76EA">
        <w:rPr>
          <w:rFonts w:ascii="Times New Roman" w:hAnsi="Times New Roman" w:cs="Times New Roman"/>
          <w:sz w:val="22"/>
          <w:szCs w:val="22"/>
        </w:rPr>
        <w:t xml:space="preserve">, </w:t>
      </w:r>
      <w:r w:rsidRPr="00BA76EA">
        <w:rPr>
          <w:rFonts w:ascii="Times New Roman" w:hAnsi="Times New Roman" w:cs="Times New Roman"/>
          <w:i/>
          <w:iCs/>
          <w:sz w:val="22"/>
          <w:szCs w:val="22"/>
        </w:rPr>
        <w:t>143</w:t>
      </w:r>
      <w:r w:rsidRPr="00BA76EA">
        <w:rPr>
          <w:rFonts w:ascii="Times New Roman" w:hAnsi="Times New Roman" w:cs="Times New Roman"/>
          <w:sz w:val="22"/>
          <w:szCs w:val="22"/>
        </w:rPr>
        <w:t>(</w:t>
      </w:r>
      <w:r w:rsidR="00735EB7" w:rsidRPr="00BA76EA">
        <w:rPr>
          <w:rFonts w:ascii="Times New Roman" w:hAnsi="Times New Roman" w:cs="Times New Roman"/>
          <w:sz w:val="22"/>
          <w:szCs w:val="22"/>
        </w:rPr>
        <w:t>4</w:t>
      </w:r>
      <w:r w:rsidRPr="00BA76EA">
        <w:rPr>
          <w:rFonts w:ascii="Times New Roman" w:hAnsi="Times New Roman" w:cs="Times New Roman"/>
          <w:sz w:val="22"/>
          <w:szCs w:val="22"/>
        </w:rPr>
        <w:t>)</w:t>
      </w:r>
      <w:r w:rsidR="00735EB7" w:rsidRPr="00BA76EA">
        <w:rPr>
          <w:rFonts w:ascii="Times New Roman" w:hAnsi="Times New Roman" w:cs="Times New Roman"/>
          <w:sz w:val="22"/>
          <w:szCs w:val="22"/>
        </w:rPr>
        <w:t xml:space="preserve">, 1366-1371. </w:t>
      </w:r>
      <w:r w:rsidR="007A3584" w:rsidRPr="00BA76EA">
        <w:rPr>
          <w:rFonts w:ascii="Times New Roman" w:hAnsi="Times New Roman" w:cs="Times New Roman"/>
          <w:sz w:val="22"/>
          <w:szCs w:val="22"/>
        </w:rPr>
        <w:t>https://www.ncbi.nlm.nih.gov/nuccore/M28130</w:t>
      </w:r>
    </w:p>
    <w:p w14:paraId="35F0F1B1" w14:textId="77777777" w:rsidR="007A3584" w:rsidRPr="00BA76EA" w:rsidRDefault="007A3584"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 xml:space="preserve">Green, B. B. &amp; Kerr, D. E. (2014). Epigenetic contribution to individual variation in response to lipopolysaccharide in bovine dermal fibroblasts. Veterinary Immunology and Immunopathology, </w:t>
      </w:r>
      <w:r w:rsidRPr="00BA76EA">
        <w:rPr>
          <w:rFonts w:ascii="Times New Roman" w:hAnsi="Times New Roman" w:cs="Times New Roman"/>
          <w:i/>
          <w:iCs/>
          <w:sz w:val="22"/>
          <w:szCs w:val="22"/>
        </w:rPr>
        <w:t>157(0)</w:t>
      </w:r>
      <w:r w:rsidRPr="00BA76EA">
        <w:rPr>
          <w:rFonts w:ascii="Times New Roman" w:hAnsi="Times New Roman" w:cs="Times New Roman"/>
          <w:sz w:val="22"/>
          <w:szCs w:val="22"/>
        </w:rPr>
        <w:t>, 49-58. doi:10.1016/j.vetimm.2013.10.015.</w:t>
      </w:r>
    </w:p>
    <w:p w14:paraId="6A9F0186" w14:textId="70B4D578" w:rsidR="00B1096E" w:rsidRPr="00BA76EA" w:rsidRDefault="00D9229D"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Chan, S. W., Zilberman, D., Xie, Z., Johansen, L. K., Carrington, J. C., and Jacobsen, S.E., 2004 RNA Silencing Genes Control de Novo DNA Methylation. Science. 303: 1336.</w:t>
      </w:r>
    </w:p>
    <w:p w14:paraId="00E186CF" w14:textId="169CF37F" w:rsidR="00EF45B3" w:rsidRPr="00BA76EA" w:rsidRDefault="00D740C4" w:rsidP="00BA76EA">
      <w:pPr>
        <w:pStyle w:val="Heading1"/>
        <w:numPr>
          <w:ilvl w:val="0"/>
          <w:numId w:val="4"/>
        </w:numPr>
        <w:spacing w:before="240" w:beforeAutospacing="0" w:after="120" w:afterAutospacing="0"/>
        <w:rPr>
          <w:b w:val="0"/>
          <w:bCs w:val="0"/>
          <w:color w:val="000000"/>
          <w:sz w:val="22"/>
          <w:szCs w:val="22"/>
        </w:rPr>
      </w:pPr>
      <w:r w:rsidRPr="00BA76EA">
        <w:rPr>
          <w:b w:val="0"/>
          <w:bCs w:val="0"/>
          <w:color w:val="000000"/>
          <w:sz w:val="22"/>
          <w:szCs w:val="22"/>
        </w:rPr>
        <w:t>P</w:t>
      </w:r>
      <w:r w:rsidR="00EF45B3" w:rsidRPr="00BA76EA">
        <w:rPr>
          <w:b w:val="0"/>
          <w:bCs w:val="0"/>
          <w:color w:val="000000"/>
          <w:sz w:val="22"/>
          <w:szCs w:val="22"/>
        </w:rPr>
        <w:t>anuncialman</w:t>
      </w:r>
      <w:r w:rsidRPr="00BA76EA">
        <w:rPr>
          <w:b w:val="0"/>
          <w:bCs w:val="0"/>
          <w:color w:val="000000"/>
          <w:sz w:val="22"/>
          <w:szCs w:val="22"/>
        </w:rPr>
        <w:t>,</w:t>
      </w:r>
      <w:r w:rsidR="00EF45B3" w:rsidRPr="00BA76EA">
        <w:rPr>
          <w:b w:val="0"/>
          <w:bCs w:val="0"/>
          <w:color w:val="000000"/>
          <w:sz w:val="22"/>
          <w:szCs w:val="22"/>
        </w:rPr>
        <w:t xml:space="preserve"> </w:t>
      </w:r>
      <w:r w:rsidRPr="00BA76EA">
        <w:rPr>
          <w:b w:val="0"/>
          <w:bCs w:val="0"/>
          <w:color w:val="000000"/>
          <w:sz w:val="22"/>
          <w:szCs w:val="22"/>
        </w:rPr>
        <w:t>J.,</w:t>
      </w:r>
      <w:r w:rsidR="00EF45B3" w:rsidRPr="00BA76EA">
        <w:rPr>
          <w:b w:val="0"/>
          <w:bCs w:val="0"/>
          <w:color w:val="000000"/>
          <w:sz w:val="22"/>
          <w:szCs w:val="22"/>
        </w:rPr>
        <w:t xml:space="preserve"> Hammerman</w:t>
      </w:r>
      <w:r w:rsidRPr="00BA76EA">
        <w:rPr>
          <w:b w:val="0"/>
          <w:bCs w:val="0"/>
          <w:color w:val="000000"/>
          <w:sz w:val="22"/>
          <w:szCs w:val="22"/>
        </w:rPr>
        <w:t>, S.,</w:t>
      </w:r>
      <w:r w:rsidR="00EF45B3" w:rsidRPr="00BA76EA">
        <w:rPr>
          <w:b w:val="0"/>
          <w:bCs w:val="0"/>
          <w:color w:val="000000"/>
          <w:sz w:val="22"/>
          <w:szCs w:val="22"/>
        </w:rPr>
        <w:t xml:space="preserve"> Carson</w:t>
      </w:r>
      <w:r w:rsidRPr="00BA76EA">
        <w:rPr>
          <w:b w:val="0"/>
          <w:bCs w:val="0"/>
          <w:color w:val="000000"/>
          <w:sz w:val="22"/>
          <w:szCs w:val="22"/>
        </w:rPr>
        <w:t>, P.</w:t>
      </w:r>
      <w:r w:rsidR="00EF45B3" w:rsidRPr="00BA76EA">
        <w:rPr>
          <w:b w:val="0"/>
          <w:bCs w:val="0"/>
          <w:color w:val="000000"/>
          <w:sz w:val="22"/>
          <w:szCs w:val="22"/>
        </w:rPr>
        <w:t xml:space="preserve">, </w:t>
      </w:r>
      <w:r w:rsidRPr="00BA76EA">
        <w:rPr>
          <w:b w:val="0"/>
          <w:bCs w:val="0"/>
          <w:color w:val="000000"/>
          <w:sz w:val="22"/>
          <w:szCs w:val="22"/>
        </w:rPr>
        <w:t>&amp;</w:t>
      </w:r>
      <w:r w:rsidR="00EF45B3" w:rsidRPr="00BA76EA">
        <w:rPr>
          <w:b w:val="0"/>
          <w:bCs w:val="0"/>
          <w:color w:val="000000"/>
          <w:sz w:val="22"/>
          <w:szCs w:val="22"/>
        </w:rPr>
        <w:t xml:space="preserve"> Falanga</w:t>
      </w:r>
      <w:r w:rsidRPr="00BA76EA">
        <w:rPr>
          <w:b w:val="0"/>
          <w:bCs w:val="0"/>
          <w:color w:val="000000"/>
          <w:sz w:val="22"/>
          <w:szCs w:val="22"/>
        </w:rPr>
        <w:t>, V. (2010).</w:t>
      </w:r>
      <w:r w:rsidR="00EF45B3" w:rsidRPr="00BA76EA">
        <w:rPr>
          <w:b w:val="0"/>
          <w:bCs w:val="0"/>
          <w:color w:val="000000"/>
          <w:sz w:val="22"/>
          <w:szCs w:val="22"/>
        </w:rPr>
        <w:t xml:space="preserve"> </w:t>
      </w:r>
      <w:r w:rsidRPr="00BA76EA">
        <w:rPr>
          <w:b w:val="0"/>
          <w:bCs w:val="0"/>
          <w:color w:val="000000"/>
          <w:sz w:val="22"/>
          <w:szCs w:val="22"/>
        </w:rPr>
        <w:t>Wound edge biopsy sites in chronic wounds heal rapidly and do not result in delayed overall healing of the wound</w:t>
      </w:r>
      <w:r w:rsidRPr="00BA76EA">
        <w:rPr>
          <w:b w:val="0"/>
          <w:bCs w:val="0"/>
          <w:color w:val="000000"/>
          <w:sz w:val="22"/>
          <w:szCs w:val="22"/>
        </w:rPr>
        <w:t xml:space="preserve">. </w:t>
      </w:r>
      <w:r w:rsidRPr="00BA76EA">
        <w:rPr>
          <w:b w:val="0"/>
          <w:bCs w:val="0"/>
          <w:i/>
          <w:iCs/>
          <w:color w:val="000000"/>
          <w:sz w:val="22"/>
          <w:szCs w:val="22"/>
        </w:rPr>
        <w:t>W</w:t>
      </w:r>
      <w:r w:rsidR="00EF45B3" w:rsidRPr="00BA76EA">
        <w:rPr>
          <w:b w:val="0"/>
          <w:bCs w:val="0"/>
          <w:i/>
          <w:iCs/>
          <w:color w:val="000000"/>
          <w:sz w:val="22"/>
          <w:szCs w:val="22"/>
        </w:rPr>
        <w:t xml:space="preserve">ound </w:t>
      </w:r>
      <w:r w:rsidRPr="00BA76EA">
        <w:rPr>
          <w:b w:val="0"/>
          <w:bCs w:val="0"/>
          <w:i/>
          <w:iCs/>
          <w:color w:val="000000"/>
          <w:sz w:val="22"/>
          <w:szCs w:val="22"/>
        </w:rPr>
        <w:t>R</w:t>
      </w:r>
      <w:r w:rsidR="00EF45B3" w:rsidRPr="00BA76EA">
        <w:rPr>
          <w:b w:val="0"/>
          <w:bCs w:val="0"/>
          <w:i/>
          <w:iCs/>
          <w:color w:val="000000"/>
          <w:sz w:val="22"/>
          <w:szCs w:val="22"/>
        </w:rPr>
        <w:t xml:space="preserve">epair </w:t>
      </w:r>
      <w:r w:rsidRPr="00BA76EA">
        <w:rPr>
          <w:b w:val="0"/>
          <w:bCs w:val="0"/>
          <w:i/>
          <w:iCs/>
          <w:color w:val="000000"/>
          <w:sz w:val="22"/>
          <w:szCs w:val="22"/>
        </w:rPr>
        <w:t>R</w:t>
      </w:r>
      <w:r w:rsidR="00EF45B3" w:rsidRPr="00BA76EA">
        <w:rPr>
          <w:b w:val="0"/>
          <w:bCs w:val="0"/>
          <w:i/>
          <w:iCs/>
          <w:color w:val="000000"/>
          <w:sz w:val="22"/>
          <w:szCs w:val="22"/>
        </w:rPr>
        <w:t>egeneration, 18</w:t>
      </w:r>
      <w:r w:rsidR="00EF45B3" w:rsidRPr="00BA76EA">
        <w:rPr>
          <w:b w:val="0"/>
          <w:bCs w:val="0"/>
          <w:color w:val="000000"/>
          <w:sz w:val="22"/>
          <w:szCs w:val="22"/>
        </w:rPr>
        <w:t>(1), 21-25</w:t>
      </w:r>
      <w:r w:rsidRPr="00BA76EA">
        <w:rPr>
          <w:b w:val="0"/>
          <w:bCs w:val="0"/>
          <w:color w:val="000000"/>
          <w:sz w:val="22"/>
          <w:szCs w:val="22"/>
        </w:rPr>
        <w:t>.</w:t>
      </w:r>
      <w:r w:rsidR="00EF45B3" w:rsidRPr="00BA76EA">
        <w:rPr>
          <w:b w:val="0"/>
          <w:bCs w:val="0"/>
          <w:color w:val="000000"/>
          <w:sz w:val="22"/>
          <w:szCs w:val="22"/>
        </w:rPr>
        <w:t xml:space="preserve"> doi: 10.1111/j.1524-475X.2009.00559.x</w:t>
      </w:r>
    </w:p>
    <w:p w14:paraId="04ECD96F" w14:textId="50DB11BF" w:rsidR="007D0F9F" w:rsidRPr="00BA76EA" w:rsidRDefault="007D0F9F" w:rsidP="00BA76EA">
      <w:pPr>
        <w:pStyle w:val="NormalWeb"/>
        <w:numPr>
          <w:ilvl w:val="0"/>
          <w:numId w:val="4"/>
        </w:numPr>
        <w:rPr>
          <w:color w:val="000000" w:themeColor="text1"/>
          <w:sz w:val="22"/>
          <w:szCs w:val="22"/>
        </w:rPr>
      </w:pPr>
      <w:r w:rsidRPr="00BA76EA">
        <w:rPr>
          <w:color w:val="000000" w:themeColor="text1"/>
          <w:sz w:val="22"/>
          <w:szCs w:val="22"/>
        </w:rPr>
        <w:t>Andia,</w:t>
      </w:r>
      <w:r w:rsidR="00D740C4" w:rsidRPr="00BA76EA">
        <w:rPr>
          <w:color w:val="000000" w:themeColor="text1"/>
          <w:sz w:val="22"/>
          <w:szCs w:val="22"/>
        </w:rPr>
        <w:t xml:space="preserve"> D. C.,</w:t>
      </w:r>
      <w:r w:rsidRPr="00BA76EA">
        <w:rPr>
          <w:color w:val="000000" w:themeColor="text1"/>
          <w:sz w:val="22"/>
          <w:szCs w:val="22"/>
        </w:rPr>
        <w:t xml:space="preserve"> de Oliveira,</w:t>
      </w:r>
      <w:r w:rsidR="00D740C4" w:rsidRPr="00BA76EA">
        <w:rPr>
          <w:color w:val="000000" w:themeColor="text1"/>
          <w:sz w:val="22"/>
          <w:szCs w:val="22"/>
        </w:rPr>
        <w:t xml:space="preserve"> N. F. P.,</w:t>
      </w:r>
      <w:r w:rsidRPr="00BA76EA">
        <w:rPr>
          <w:color w:val="000000" w:themeColor="text1"/>
          <w:sz w:val="22"/>
          <w:szCs w:val="22"/>
        </w:rPr>
        <w:t xml:space="preserve"> Casarin</w:t>
      </w:r>
      <w:r w:rsidR="00D740C4" w:rsidRPr="00BA76EA">
        <w:rPr>
          <w:color w:val="000000" w:themeColor="text1"/>
          <w:sz w:val="22"/>
          <w:szCs w:val="22"/>
        </w:rPr>
        <w:t>, R. C. V.</w:t>
      </w:r>
      <w:r w:rsidRPr="00BA76EA">
        <w:rPr>
          <w:color w:val="000000" w:themeColor="text1"/>
          <w:sz w:val="22"/>
          <w:szCs w:val="22"/>
        </w:rPr>
        <w:t>,</w:t>
      </w:r>
      <w:r w:rsidR="00D740C4" w:rsidRPr="00BA76EA">
        <w:rPr>
          <w:color w:val="000000" w:themeColor="text1"/>
          <w:sz w:val="22"/>
          <w:szCs w:val="22"/>
        </w:rPr>
        <w:t xml:space="preserve"> </w:t>
      </w:r>
      <w:r w:rsidRPr="00BA76EA">
        <w:rPr>
          <w:color w:val="000000" w:themeColor="text1"/>
          <w:sz w:val="22"/>
          <w:szCs w:val="22"/>
        </w:rPr>
        <w:t>Casati,</w:t>
      </w:r>
      <w:r w:rsidR="00D740C4" w:rsidRPr="00BA76EA">
        <w:rPr>
          <w:color w:val="000000" w:themeColor="text1"/>
          <w:sz w:val="22"/>
          <w:szCs w:val="22"/>
        </w:rPr>
        <w:t xml:space="preserve"> M. Z.,</w:t>
      </w:r>
      <w:r w:rsidRPr="00BA76EA">
        <w:rPr>
          <w:color w:val="000000" w:themeColor="text1"/>
          <w:sz w:val="22"/>
          <w:szCs w:val="22"/>
        </w:rPr>
        <w:t xml:space="preserve"> Line,</w:t>
      </w:r>
      <w:r w:rsidR="00D740C4" w:rsidRPr="00BA76EA">
        <w:rPr>
          <w:color w:val="000000" w:themeColor="text1"/>
          <w:sz w:val="22"/>
          <w:szCs w:val="22"/>
        </w:rPr>
        <w:t xml:space="preserve"> S. R. P.,</w:t>
      </w:r>
      <w:r w:rsidRPr="00BA76EA">
        <w:rPr>
          <w:color w:val="000000" w:themeColor="text1"/>
          <w:sz w:val="22"/>
          <w:szCs w:val="22"/>
        </w:rPr>
        <w:t xml:space="preserve"> </w:t>
      </w:r>
      <w:r w:rsidR="00D740C4" w:rsidRPr="00BA76EA">
        <w:rPr>
          <w:color w:val="000000" w:themeColor="text1"/>
          <w:sz w:val="22"/>
          <w:szCs w:val="22"/>
        </w:rPr>
        <w:t>&amp;</w:t>
      </w:r>
      <w:r w:rsidRPr="00BA76EA">
        <w:rPr>
          <w:color w:val="000000" w:themeColor="text1"/>
          <w:sz w:val="22"/>
          <w:szCs w:val="22"/>
        </w:rPr>
        <w:t xml:space="preserve"> de Souza</w:t>
      </w:r>
      <w:r w:rsidR="00D740C4" w:rsidRPr="00BA76EA">
        <w:rPr>
          <w:color w:val="000000" w:themeColor="text1"/>
          <w:sz w:val="22"/>
          <w:szCs w:val="22"/>
        </w:rPr>
        <w:t xml:space="preserve"> A. P. (2010).</w:t>
      </w:r>
      <w:r w:rsidRPr="00BA76EA">
        <w:rPr>
          <w:color w:val="000000" w:themeColor="text1"/>
          <w:sz w:val="22"/>
          <w:szCs w:val="22"/>
        </w:rPr>
        <w:t xml:space="preserve"> </w:t>
      </w:r>
      <w:r w:rsidR="00D740C4" w:rsidRPr="00BA76EA">
        <w:rPr>
          <w:color w:val="000000" w:themeColor="text1"/>
          <w:sz w:val="22"/>
          <w:szCs w:val="22"/>
        </w:rPr>
        <w:t>DNA Methylation Status of the IL8 Gene Promoter in Aggressive Periodontitis</w:t>
      </w:r>
      <w:r w:rsidR="00D740C4" w:rsidRPr="00BA76EA">
        <w:rPr>
          <w:color w:val="000000" w:themeColor="text1"/>
          <w:sz w:val="22"/>
          <w:szCs w:val="22"/>
        </w:rPr>
        <w:t xml:space="preserve">. </w:t>
      </w:r>
      <w:r w:rsidRPr="00BA76EA">
        <w:rPr>
          <w:i/>
          <w:iCs/>
          <w:color w:val="000000" w:themeColor="text1"/>
          <w:sz w:val="22"/>
          <w:szCs w:val="22"/>
        </w:rPr>
        <w:t>Journal of Periodontology, 81</w:t>
      </w:r>
      <w:r w:rsidRPr="00BA76EA">
        <w:rPr>
          <w:color w:val="000000" w:themeColor="text1"/>
          <w:sz w:val="22"/>
          <w:szCs w:val="22"/>
        </w:rPr>
        <w:t>(9), 1336-134</w:t>
      </w:r>
      <w:r w:rsidR="00D740C4" w:rsidRPr="00BA76EA">
        <w:rPr>
          <w:color w:val="000000" w:themeColor="text1"/>
          <w:sz w:val="22"/>
          <w:szCs w:val="22"/>
        </w:rPr>
        <w:t>1.</w:t>
      </w:r>
      <w:r w:rsidRPr="00BA76EA">
        <w:rPr>
          <w:color w:val="000000" w:themeColor="text1"/>
          <w:sz w:val="22"/>
          <w:szCs w:val="22"/>
        </w:rPr>
        <w:t xml:space="preserve"> doi: 10.1902/jop.2010.100082</w:t>
      </w:r>
    </w:p>
    <w:p w14:paraId="018DEFDC" w14:textId="7D8D5DDB" w:rsidR="00EF45B3" w:rsidRPr="00BA76EA" w:rsidRDefault="00D740C4"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Dispase II. (n.d.)</w:t>
      </w:r>
      <w:r w:rsidR="00D624E5" w:rsidRPr="00BA76EA">
        <w:rPr>
          <w:rFonts w:ascii="Times New Roman" w:hAnsi="Times New Roman" w:cs="Times New Roman"/>
          <w:sz w:val="22"/>
          <w:szCs w:val="22"/>
        </w:rPr>
        <w:t>.</w:t>
      </w:r>
      <w:r w:rsidRPr="00BA76EA">
        <w:rPr>
          <w:rFonts w:ascii="Times New Roman" w:hAnsi="Times New Roman" w:cs="Times New Roman"/>
          <w:sz w:val="22"/>
          <w:szCs w:val="22"/>
        </w:rPr>
        <w:t xml:space="preserve"> Retrieved November 30, 2019 from </w:t>
      </w:r>
      <w:r w:rsidRPr="00BA76EA">
        <w:rPr>
          <w:rFonts w:ascii="Times New Roman" w:hAnsi="Times New Roman" w:cs="Times New Roman"/>
          <w:sz w:val="22"/>
          <w:szCs w:val="22"/>
        </w:rPr>
        <w:t>https://www.sigmaaldrich.com/catalog/product/sigma/d4693?lang=en&amp;region=US</w:t>
      </w:r>
    </w:p>
    <w:p w14:paraId="79038FBD" w14:textId="3C9E5F00" w:rsidR="00A97E44" w:rsidRPr="00BA76EA" w:rsidRDefault="00A97E44"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Kanta</w:t>
      </w:r>
      <w:r w:rsidR="00D740C4" w:rsidRPr="00BA76EA">
        <w:rPr>
          <w:rFonts w:ascii="Times New Roman" w:hAnsi="Times New Roman" w:cs="Times New Roman"/>
          <w:sz w:val="22"/>
          <w:szCs w:val="22"/>
        </w:rPr>
        <w:t>, J. (2015).</w:t>
      </w:r>
      <w:r w:rsidRPr="00BA76EA">
        <w:rPr>
          <w:rFonts w:ascii="Times New Roman" w:hAnsi="Times New Roman" w:cs="Times New Roman"/>
          <w:sz w:val="22"/>
          <w:szCs w:val="22"/>
        </w:rPr>
        <w:t xml:space="preserve"> Collagen matrix as a tool in studying fibroblastic cell behavior, </w:t>
      </w:r>
      <w:r w:rsidRPr="00BA76EA">
        <w:rPr>
          <w:rFonts w:ascii="Times New Roman" w:hAnsi="Times New Roman" w:cs="Times New Roman"/>
          <w:i/>
          <w:iCs/>
          <w:sz w:val="22"/>
          <w:szCs w:val="22"/>
        </w:rPr>
        <w:t>Cell Adhesion and Migration, 9</w:t>
      </w:r>
      <w:r w:rsidRPr="00BA76EA">
        <w:rPr>
          <w:rFonts w:ascii="Times New Roman" w:hAnsi="Times New Roman" w:cs="Times New Roman"/>
          <w:sz w:val="22"/>
          <w:szCs w:val="22"/>
        </w:rPr>
        <w:t>(4), 308-316</w:t>
      </w:r>
      <w:r w:rsidR="00D740C4" w:rsidRPr="00BA76EA">
        <w:rPr>
          <w:rFonts w:ascii="Times New Roman" w:hAnsi="Times New Roman" w:cs="Times New Roman"/>
          <w:sz w:val="22"/>
          <w:szCs w:val="22"/>
        </w:rPr>
        <w:t xml:space="preserve">. </w:t>
      </w:r>
      <w:r w:rsidRPr="00BA76EA">
        <w:rPr>
          <w:rFonts w:ascii="Times New Roman" w:hAnsi="Times New Roman" w:cs="Times New Roman"/>
          <w:sz w:val="22"/>
          <w:szCs w:val="22"/>
        </w:rPr>
        <w:t>http://dx.doi.org/10.1080/19336918.2015.1005469</w:t>
      </w:r>
    </w:p>
    <w:p w14:paraId="18BAE06B" w14:textId="69625CC2" w:rsidR="00D00DC7" w:rsidRPr="00BA76EA" w:rsidRDefault="00D00DC7"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Collagenase from </w:t>
      </w:r>
      <w:r w:rsidRPr="00BA76EA">
        <w:rPr>
          <w:rFonts w:ascii="Times New Roman" w:hAnsi="Times New Roman" w:cs="Times New Roman"/>
          <w:i/>
          <w:iCs/>
          <w:sz w:val="22"/>
          <w:szCs w:val="22"/>
        </w:rPr>
        <w:t>Clostridium histolyticum</w:t>
      </w:r>
      <w:r w:rsidRPr="00BA76EA">
        <w:rPr>
          <w:rFonts w:ascii="Times New Roman" w:hAnsi="Times New Roman" w:cs="Times New Roman"/>
          <w:sz w:val="22"/>
          <w:szCs w:val="22"/>
        </w:rPr>
        <w:t>. (n.d.)</w:t>
      </w:r>
      <w:r w:rsidR="00D624E5" w:rsidRPr="00BA76EA">
        <w:rPr>
          <w:rFonts w:ascii="Times New Roman" w:hAnsi="Times New Roman" w:cs="Times New Roman"/>
          <w:sz w:val="22"/>
          <w:szCs w:val="22"/>
        </w:rPr>
        <w:t>.</w:t>
      </w:r>
      <w:r w:rsidRPr="00BA76EA">
        <w:rPr>
          <w:rFonts w:ascii="Times New Roman" w:hAnsi="Times New Roman" w:cs="Times New Roman"/>
          <w:sz w:val="22"/>
          <w:szCs w:val="22"/>
        </w:rPr>
        <w:t xml:space="preserve"> Retrieved November 30, 2019 from</w:t>
      </w:r>
      <w:r w:rsidRPr="00BA76EA">
        <w:rPr>
          <w:rFonts w:ascii="Times New Roman" w:hAnsi="Times New Roman" w:cs="Times New Roman"/>
          <w:sz w:val="22"/>
          <w:szCs w:val="22"/>
        </w:rPr>
        <w:t xml:space="preserve"> </w:t>
      </w:r>
      <w:r w:rsidRPr="00BA76EA">
        <w:rPr>
          <w:rFonts w:ascii="Times New Roman" w:hAnsi="Times New Roman" w:cs="Times New Roman"/>
          <w:sz w:val="22"/>
          <w:szCs w:val="22"/>
        </w:rPr>
        <w:t>https://www.sigmaaldrich.com/catalog/product/sigma/c0130?lang=en&amp;region=US</w:t>
      </w:r>
    </w:p>
    <w:p w14:paraId="7CC6799C" w14:textId="70F9821B" w:rsidR="00304030" w:rsidRPr="00BA76EA" w:rsidRDefault="00304030" w:rsidP="00BA76EA">
      <w:pPr>
        <w:pStyle w:val="NormalWeb"/>
        <w:numPr>
          <w:ilvl w:val="0"/>
          <w:numId w:val="4"/>
        </w:numPr>
        <w:rPr>
          <w:color w:val="000000" w:themeColor="text1"/>
          <w:sz w:val="22"/>
          <w:szCs w:val="22"/>
        </w:rPr>
      </w:pPr>
      <w:r w:rsidRPr="00BA76EA">
        <w:rPr>
          <w:color w:val="000000" w:themeColor="text1"/>
          <w:sz w:val="22"/>
          <w:szCs w:val="22"/>
        </w:rPr>
        <w:t>Pandamooz,</w:t>
      </w:r>
      <w:r w:rsidR="00D00DC7" w:rsidRPr="00BA76EA">
        <w:rPr>
          <w:color w:val="000000" w:themeColor="text1"/>
          <w:sz w:val="22"/>
          <w:szCs w:val="22"/>
        </w:rPr>
        <w:t xml:space="preserve"> S.,</w:t>
      </w:r>
      <w:r w:rsidRPr="00BA76EA">
        <w:rPr>
          <w:color w:val="000000" w:themeColor="text1"/>
          <w:sz w:val="22"/>
          <w:szCs w:val="22"/>
        </w:rPr>
        <w:t xml:space="preserve"> Hadipour,</w:t>
      </w:r>
      <w:r w:rsidR="00D00DC7" w:rsidRPr="00BA76EA">
        <w:rPr>
          <w:color w:val="000000" w:themeColor="text1"/>
          <w:sz w:val="22"/>
          <w:szCs w:val="22"/>
        </w:rPr>
        <w:t xml:space="preserve"> A.,</w:t>
      </w:r>
      <w:r w:rsidRPr="00BA76EA">
        <w:rPr>
          <w:color w:val="000000" w:themeColor="text1"/>
          <w:sz w:val="22"/>
          <w:szCs w:val="22"/>
        </w:rPr>
        <w:t xml:space="preserve"> Akhavan-Niaki,</w:t>
      </w:r>
      <w:r w:rsidR="00D00DC7" w:rsidRPr="00BA76EA">
        <w:rPr>
          <w:color w:val="000000" w:themeColor="text1"/>
          <w:sz w:val="22"/>
          <w:szCs w:val="22"/>
        </w:rPr>
        <w:t xml:space="preserve"> H.,</w:t>
      </w:r>
      <w:r w:rsidRPr="00BA76EA">
        <w:rPr>
          <w:color w:val="000000" w:themeColor="text1"/>
          <w:sz w:val="22"/>
          <w:szCs w:val="22"/>
        </w:rPr>
        <w:t xml:space="preserve"> Pourghasem,</w:t>
      </w:r>
      <w:r w:rsidR="00D00DC7" w:rsidRPr="00BA76EA">
        <w:rPr>
          <w:color w:val="000000" w:themeColor="text1"/>
          <w:sz w:val="22"/>
          <w:szCs w:val="22"/>
        </w:rPr>
        <w:t xml:space="preserve"> M., </w:t>
      </w:r>
      <w:r w:rsidRPr="00BA76EA">
        <w:rPr>
          <w:color w:val="000000" w:themeColor="text1"/>
          <w:sz w:val="22"/>
          <w:szCs w:val="22"/>
        </w:rPr>
        <w:t xml:space="preserve"> Abedian,</w:t>
      </w:r>
      <w:r w:rsidR="00D00DC7" w:rsidRPr="00BA76EA">
        <w:rPr>
          <w:color w:val="000000" w:themeColor="text1"/>
          <w:sz w:val="22"/>
          <w:szCs w:val="22"/>
        </w:rPr>
        <w:t xml:space="preserve"> Z.,</w:t>
      </w:r>
      <w:r w:rsidRPr="00BA76EA">
        <w:rPr>
          <w:color w:val="000000" w:themeColor="text1"/>
          <w:sz w:val="22"/>
          <w:szCs w:val="22"/>
        </w:rPr>
        <w:t xml:space="preserve"> Motevallizadeh Ardekani</w:t>
      </w:r>
      <w:r w:rsidR="00D00DC7" w:rsidRPr="00BA76EA">
        <w:rPr>
          <w:color w:val="000000" w:themeColor="text1"/>
          <w:sz w:val="22"/>
          <w:szCs w:val="22"/>
        </w:rPr>
        <w:t>, A.</w:t>
      </w:r>
      <w:r w:rsidRPr="00BA76EA">
        <w:rPr>
          <w:color w:val="000000" w:themeColor="text1"/>
          <w:sz w:val="22"/>
          <w:szCs w:val="22"/>
        </w:rPr>
        <w:t>, Golpour,</w:t>
      </w:r>
      <w:r w:rsidR="00D00DC7" w:rsidRPr="00BA76EA">
        <w:rPr>
          <w:color w:val="000000" w:themeColor="text1"/>
          <w:sz w:val="22"/>
          <w:szCs w:val="22"/>
        </w:rPr>
        <w:t xml:space="preserve"> M.,</w:t>
      </w:r>
      <w:r w:rsidRPr="00BA76EA">
        <w:rPr>
          <w:color w:val="000000" w:themeColor="text1"/>
          <w:sz w:val="22"/>
          <w:szCs w:val="22"/>
        </w:rPr>
        <w:t xml:space="preserve"> Hassan,</w:t>
      </w:r>
      <w:r w:rsidR="00D00DC7" w:rsidRPr="00BA76EA">
        <w:rPr>
          <w:color w:val="000000" w:themeColor="text1"/>
          <w:sz w:val="22"/>
          <w:szCs w:val="22"/>
        </w:rPr>
        <w:t xml:space="preserve"> Z. M., &amp;</w:t>
      </w:r>
      <w:r w:rsidRPr="00BA76EA">
        <w:rPr>
          <w:color w:val="000000" w:themeColor="text1"/>
          <w:sz w:val="22"/>
          <w:szCs w:val="22"/>
        </w:rPr>
        <w:t xml:space="preserve"> Mostafazadeh</w:t>
      </w:r>
      <w:r w:rsidR="00D00DC7" w:rsidRPr="00BA76EA">
        <w:rPr>
          <w:color w:val="000000" w:themeColor="text1"/>
          <w:sz w:val="22"/>
          <w:szCs w:val="22"/>
        </w:rPr>
        <w:t>, A. (2012).</w:t>
      </w:r>
      <w:r w:rsidRPr="00BA76EA">
        <w:rPr>
          <w:color w:val="000000" w:themeColor="text1"/>
          <w:sz w:val="22"/>
          <w:szCs w:val="22"/>
        </w:rPr>
        <w:t xml:space="preserve"> </w:t>
      </w:r>
      <w:r w:rsidR="00D00DC7" w:rsidRPr="00BA76EA">
        <w:rPr>
          <w:color w:val="000000" w:themeColor="text1"/>
          <w:sz w:val="22"/>
          <w:szCs w:val="22"/>
        </w:rPr>
        <w:t>Short exposure to collagenase and coculture with mouse embryonic pancreas improve human dermal fibroblast culture</w:t>
      </w:r>
      <w:r w:rsidR="00D00DC7" w:rsidRPr="00BA76EA">
        <w:rPr>
          <w:color w:val="000000" w:themeColor="text1"/>
          <w:sz w:val="22"/>
          <w:szCs w:val="22"/>
        </w:rPr>
        <w:t xml:space="preserve">. </w:t>
      </w:r>
      <w:r w:rsidRPr="00BA76EA">
        <w:rPr>
          <w:i/>
          <w:iCs/>
          <w:color w:val="000000" w:themeColor="text1"/>
          <w:sz w:val="22"/>
          <w:szCs w:val="22"/>
        </w:rPr>
        <w:t>Biotechnology and Applied Biochemistry, 59</w:t>
      </w:r>
      <w:r w:rsidRPr="00BA76EA">
        <w:rPr>
          <w:color w:val="000000" w:themeColor="text1"/>
          <w:sz w:val="22"/>
          <w:szCs w:val="22"/>
        </w:rPr>
        <w:t>(3), 254-261</w:t>
      </w:r>
      <w:r w:rsidR="00D00DC7" w:rsidRPr="00BA76EA">
        <w:rPr>
          <w:color w:val="000000" w:themeColor="text1"/>
          <w:sz w:val="22"/>
          <w:szCs w:val="22"/>
        </w:rPr>
        <w:t>.</w:t>
      </w:r>
      <w:r w:rsidRPr="00BA76EA">
        <w:rPr>
          <w:color w:val="000000" w:themeColor="text1"/>
          <w:sz w:val="22"/>
          <w:szCs w:val="22"/>
        </w:rPr>
        <w:t xml:space="preserve"> DOI: 10.1002/bab.1020</w:t>
      </w:r>
    </w:p>
    <w:p w14:paraId="4D33C660" w14:textId="1701873A" w:rsidR="006348C4" w:rsidRPr="00BA76EA" w:rsidRDefault="00171A90"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lastRenderedPageBreak/>
        <w:t>Lipopolysaccharides from Escherichia coli O111:B4</w:t>
      </w:r>
      <w:r w:rsidRPr="00BA76EA">
        <w:rPr>
          <w:rFonts w:ascii="Times New Roman" w:hAnsi="Times New Roman" w:cs="Times New Roman"/>
          <w:sz w:val="22"/>
          <w:szCs w:val="22"/>
        </w:rPr>
        <w:t xml:space="preserve">. (n.d.) Retrieved November 30, 2019 from </w:t>
      </w:r>
      <w:r w:rsidRPr="00BA76EA">
        <w:rPr>
          <w:rFonts w:ascii="Times New Roman" w:hAnsi="Times New Roman" w:cs="Times New Roman"/>
          <w:sz w:val="22"/>
          <w:szCs w:val="22"/>
        </w:rPr>
        <w:t>https://www.sigmaaldrich.com/catalog/product/sigma/l4391?lang=en&amp;region=US</w:t>
      </w:r>
    </w:p>
    <w:p w14:paraId="6F5DEC52" w14:textId="09E7B0AA" w:rsidR="00AB7CF1" w:rsidRPr="00BA76EA" w:rsidRDefault="00171A90"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Farrell, R. (2010). R</w:t>
      </w:r>
      <w:r w:rsidRPr="00BA76EA">
        <w:rPr>
          <w:rFonts w:ascii="Times New Roman" w:hAnsi="Times New Roman" w:cs="Times New Roman"/>
          <w:sz w:val="22"/>
          <w:szCs w:val="22"/>
        </w:rPr>
        <w:t xml:space="preserve">esilient </w:t>
      </w:r>
      <w:r w:rsidRPr="00BA76EA">
        <w:rPr>
          <w:rFonts w:ascii="Times New Roman" w:hAnsi="Times New Roman" w:cs="Times New Roman"/>
          <w:sz w:val="22"/>
          <w:szCs w:val="22"/>
        </w:rPr>
        <w:t>R</w:t>
      </w:r>
      <w:r w:rsidRPr="00BA76EA">
        <w:rPr>
          <w:rFonts w:ascii="Times New Roman" w:hAnsi="Times New Roman" w:cs="Times New Roman"/>
          <w:sz w:val="22"/>
          <w:szCs w:val="22"/>
        </w:rPr>
        <w:t>ibonucleases</w:t>
      </w:r>
      <w:r w:rsidRPr="00BA76EA">
        <w:rPr>
          <w:rFonts w:ascii="Times New Roman" w:hAnsi="Times New Roman" w:cs="Times New Roman"/>
          <w:sz w:val="22"/>
          <w:szCs w:val="22"/>
        </w:rPr>
        <w:t xml:space="preserve">. In </w:t>
      </w:r>
      <w:r w:rsidRPr="00BA76EA">
        <w:rPr>
          <w:rFonts w:ascii="Times New Roman" w:hAnsi="Times New Roman" w:cs="Times New Roman"/>
          <w:i/>
          <w:iCs/>
          <w:sz w:val="22"/>
          <w:szCs w:val="22"/>
        </w:rPr>
        <w:t>RNA methodologies 4</w:t>
      </w:r>
      <w:r w:rsidRPr="00BA76EA">
        <w:rPr>
          <w:rFonts w:ascii="Times New Roman" w:hAnsi="Times New Roman" w:cs="Times New Roman"/>
          <w:i/>
          <w:iCs/>
          <w:sz w:val="22"/>
          <w:szCs w:val="22"/>
          <w:vertAlign w:val="superscript"/>
        </w:rPr>
        <w:t>th</w:t>
      </w:r>
      <w:r w:rsidRPr="00BA76EA">
        <w:rPr>
          <w:rFonts w:ascii="Times New Roman" w:hAnsi="Times New Roman" w:cs="Times New Roman"/>
          <w:i/>
          <w:iCs/>
          <w:sz w:val="22"/>
          <w:szCs w:val="22"/>
        </w:rPr>
        <w:t xml:space="preserve"> edition</w:t>
      </w:r>
      <w:r w:rsidRPr="00BA76EA">
        <w:rPr>
          <w:rFonts w:ascii="Times New Roman" w:hAnsi="Times New Roman" w:cs="Times New Roman"/>
          <w:sz w:val="22"/>
          <w:szCs w:val="22"/>
        </w:rPr>
        <w:t xml:space="preserve"> (Chapter 7).</w:t>
      </w:r>
      <w:r w:rsidR="004D79AE" w:rsidRPr="00BA76EA">
        <w:rPr>
          <w:rFonts w:ascii="Times New Roman" w:hAnsi="Times New Roman" w:cs="Times New Roman"/>
          <w:sz w:val="22"/>
          <w:szCs w:val="22"/>
        </w:rPr>
        <w:t xml:space="preserve"> </w:t>
      </w:r>
      <w:r w:rsidR="00AB7CF1" w:rsidRPr="00BA76EA">
        <w:rPr>
          <w:rFonts w:ascii="Times New Roman" w:hAnsi="Times New Roman" w:cs="Times New Roman"/>
          <w:sz w:val="22"/>
          <w:szCs w:val="22"/>
        </w:rPr>
        <w:t>https://doi.org/10.1016/B978-0-12-374727-3.00007-3</w:t>
      </w:r>
    </w:p>
    <w:p w14:paraId="49C3825E" w14:textId="4461D0A7" w:rsidR="00AC707B" w:rsidRPr="00BA76EA" w:rsidRDefault="00364955"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Proteinase K. (n.d.)</w:t>
      </w:r>
      <w:r w:rsidR="00D624E5" w:rsidRPr="00BA76EA">
        <w:rPr>
          <w:rFonts w:ascii="Times New Roman" w:hAnsi="Times New Roman" w:cs="Times New Roman"/>
          <w:sz w:val="22"/>
          <w:szCs w:val="22"/>
        </w:rPr>
        <w:t>.</w:t>
      </w:r>
      <w:r w:rsidRPr="00BA76EA">
        <w:rPr>
          <w:rFonts w:ascii="Times New Roman" w:hAnsi="Times New Roman" w:cs="Times New Roman"/>
          <w:sz w:val="22"/>
          <w:szCs w:val="22"/>
        </w:rPr>
        <w:t xml:space="preserve"> Retrieved November 30, 2019 from </w:t>
      </w:r>
      <w:r w:rsidRPr="00BA76EA">
        <w:rPr>
          <w:rFonts w:ascii="Times New Roman" w:hAnsi="Times New Roman" w:cs="Times New Roman"/>
          <w:sz w:val="22"/>
          <w:szCs w:val="22"/>
        </w:rPr>
        <w:t>https://www.sigmaaldrich.com/life-science/metabolomics/enzyme-explorer/analytical-enzymes/proteinase-k.html</w:t>
      </w:r>
    </w:p>
    <w:p w14:paraId="364D18F8" w14:textId="2EEF17DB" w:rsidR="00B1096E" w:rsidRPr="00BA76EA" w:rsidRDefault="00AC707B"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eastAsia="Times New Roman" w:hAnsi="Times New Roman" w:cs="Times New Roman"/>
          <w:color w:val="000000"/>
          <w:sz w:val="22"/>
          <w:szCs w:val="22"/>
        </w:rPr>
        <w:t xml:space="preserve">McKiernan, H. E. and Danielson, P. B. (2017). Molecular Diagnostic Applications in Forensic Science. </w:t>
      </w:r>
      <w:r w:rsidRPr="00BA76EA">
        <w:rPr>
          <w:rFonts w:ascii="Times New Roman" w:eastAsia="Times New Roman" w:hAnsi="Times New Roman" w:cs="Times New Roman"/>
          <w:i/>
          <w:iCs/>
          <w:color w:val="000000"/>
          <w:sz w:val="22"/>
          <w:szCs w:val="22"/>
        </w:rPr>
        <w:t>Molecular Diagnostics (Third Edition)</w:t>
      </w:r>
      <w:r w:rsidRPr="00BA76EA">
        <w:rPr>
          <w:rFonts w:ascii="Times New Roman" w:eastAsia="Times New Roman" w:hAnsi="Times New Roman" w:cs="Times New Roman"/>
          <w:color w:val="000000"/>
          <w:sz w:val="22"/>
          <w:szCs w:val="22"/>
        </w:rPr>
        <w:t xml:space="preserve">, 371-394. </w:t>
      </w:r>
      <w:r w:rsidR="006A316A" w:rsidRPr="00BA76EA">
        <w:rPr>
          <w:rFonts w:ascii="Times New Roman" w:eastAsia="Times New Roman" w:hAnsi="Times New Roman" w:cs="Times New Roman"/>
          <w:color w:val="000000"/>
          <w:sz w:val="22"/>
          <w:szCs w:val="22"/>
        </w:rPr>
        <w:t>https://doi.org/10.1016/B978-0-12-802971-8.00021-3</w:t>
      </w:r>
    </w:p>
    <w:p w14:paraId="765FB615" w14:textId="47A415EB" w:rsidR="00FF43EA" w:rsidRPr="00BA76EA" w:rsidRDefault="00305514"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Invitrogen</w:t>
      </w:r>
      <w:r w:rsidRPr="00BA76EA">
        <w:rPr>
          <w:rFonts w:ascii="Times New Roman" w:hAnsi="Times New Roman" w:cs="Times New Roman"/>
          <w:sz w:val="22"/>
          <w:szCs w:val="22"/>
          <w:vertAlign w:val="superscript"/>
        </w:rPr>
        <w:t>TM</w:t>
      </w:r>
      <w:r w:rsidRPr="00BA76EA">
        <w:rPr>
          <w:rFonts w:ascii="Times New Roman" w:hAnsi="Times New Roman" w:cs="Times New Roman"/>
          <w:sz w:val="22"/>
          <w:szCs w:val="22"/>
        </w:rPr>
        <w:t xml:space="preserve"> </w:t>
      </w:r>
      <w:r w:rsidRPr="00BA76EA">
        <w:rPr>
          <w:rFonts w:ascii="Times New Roman" w:hAnsi="Times New Roman" w:cs="Times New Roman"/>
          <w:sz w:val="22"/>
          <w:szCs w:val="22"/>
        </w:rPr>
        <w:t>SYBR™ Gold Nucleic Acid Gel Stain (10,000X Concentrate in DMSO)</w:t>
      </w:r>
      <w:r w:rsidRPr="00BA76EA">
        <w:rPr>
          <w:rFonts w:ascii="Times New Roman" w:hAnsi="Times New Roman" w:cs="Times New Roman"/>
          <w:sz w:val="22"/>
          <w:szCs w:val="22"/>
        </w:rPr>
        <w:t>. (n.d.)</w:t>
      </w:r>
      <w:r w:rsidR="00D624E5" w:rsidRPr="00BA76EA">
        <w:rPr>
          <w:rFonts w:ascii="Times New Roman" w:hAnsi="Times New Roman" w:cs="Times New Roman"/>
          <w:sz w:val="22"/>
          <w:szCs w:val="22"/>
        </w:rPr>
        <w:t>.</w:t>
      </w:r>
      <w:r w:rsidRPr="00BA76EA">
        <w:rPr>
          <w:rFonts w:ascii="Times New Roman" w:hAnsi="Times New Roman" w:cs="Times New Roman"/>
          <w:sz w:val="22"/>
          <w:szCs w:val="22"/>
        </w:rPr>
        <w:t xml:space="preserve"> Retrieved November 30, 2019 from</w:t>
      </w:r>
      <w:r w:rsidRPr="00BA76EA">
        <w:rPr>
          <w:rFonts w:ascii="Times New Roman" w:hAnsi="Times New Roman" w:cs="Times New Roman"/>
          <w:sz w:val="22"/>
          <w:szCs w:val="22"/>
        </w:rPr>
        <w:t xml:space="preserve"> </w:t>
      </w:r>
      <w:r w:rsidR="00D624E5" w:rsidRPr="00BA76EA">
        <w:rPr>
          <w:rFonts w:ascii="Times New Roman" w:hAnsi="Times New Roman" w:cs="Times New Roman"/>
          <w:sz w:val="22"/>
          <w:szCs w:val="22"/>
        </w:rPr>
        <w:t>https://www.thermofisher.</w:t>
      </w:r>
      <w:r w:rsidR="00D624E5" w:rsidRPr="00BA76EA">
        <w:rPr>
          <w:rFonts w:ascii="Times New Roman" w:hAnsi="Times New Roman" w:cs="Times New Roman"/>
          <w:sz w:val="22"/>
          <w:szCs w:val="22"/>
        </w:rPr>
        <w:t>c</w:t>
      </w:r>
      <w:r w:rsidR="00D624E5" w:rsidRPr="00BA76EA">
        <w:rPr>
          <w:rFonts w:ascii="Times New Roman" w:hAnsi="Times New Roman" w:cs="Times New Roman"/>
          <w:sz w:val="22"/>
          <w:szCs w:val="22"/>
        </w:rPr>
        <w:t>om/order/catalog/product/S11494#/S11494</w:t>
      </w:r>
    </w:p>
    <w:p w14:paraId="3AB9C2BA" w14:textId="2B2A0AE9" w:rsidR="00FF43EA" w:rsidRPr="00BA76EA" w:rsidRDefault="00FF43EA" w:rsidP="00BA76EA">
      <w:pPr>
        <w:pStyle w:val="NormalWeb"/>
        <w:numPr>
          <w:ilvl w:val="0"/>
          <w:numId w:val="4"/>
        </w:numPr>
        <w:rPr>
          <w:sz w:val="22"/>
          <w:szCs w:val="22"/>
        </w:rPr>
      </w:pPr>
      <w:r w:rsidRPr="00BA76EA">
        <w:rPr>
          <w:sz w:val="22"/>
          <w:szCs w:val="22"/>
        </w:rPr>
        <w:t>Oliveira</w:t>
      </w:r>
      <w:r w:rsidR="00305514" w:rsidRPr="00BA76EA">
        <w:rPr>
          <w:sz w:val="22"/>
          <w:szCs w:val="22"/>
        </w:rPr>
        <w:t>,</w:t>
      </w:r>
      <w:r w:rsidRPr="00BA76EA">
        <w:rPr>
          <w:sz w:val="22"/>
          <w:szCs w:val="22"/>
        </w:rPr>
        <w:t xml:space="preserve"> N</w:t>
      </w:r>
      <w:r w:rsidR="00305514" w:rsidRPr="00BA76EA">
        <w:rPr>
          <w:sz w:val="22"/>
          <w:szCs w:val="22"/>
        </w:rPr>
        <w:t xml:space="preserve">. </w:t>
      </w:r>
      <w:r w:rsidRPr="00BA76EA">
        <w:rPr>
          <w:sz w:val="22"/>
          <w:szCs w:val="22"/>
        </w:rPr>
        <w:t>F</w:t>
      </w:r>
      <w:r w:rsidR="00305514" w:rsidRPr="00BA76EA">
        <w:rPr>
          <w:sz w:val="22"/>
          <w:szCs w:val="22"/>
        </w:rPr>
        <w:t xml:space="preserve">. </w:t>
      </w:r>
      <w:r w:rsidRPr="00BA76EA">
        <w:rPr>
          <w:sz w:val="22"/>
          <w:szCs w:val="22"/>
        </w:rPr>
        <w:t>P</w:t>
      </w:r>
      <w:r w:rsidR="00305514" w:rsidRPr="00BA76EA">
        <w:rPr>
          <w:sz w:val="22"/>
          <w:szCs w:val="22"/>
        </w:rPr>
        <w:t>.</w:t>
      </w:r>
      <w:r w:rsidRPr="00BA76EA">
        <w:rPr>
          <w:sz w:val="22"/>
          <w:szCs w:val="22"/>
        </w:rPr>
        <w:t>, Damm</w:t>
      </w:r>
      <w:r w:rsidR="00305514" w:rsidRPr="00BA76EA">
        <w:rPr>
          <w:sz w:val="22"/>
          <w:szCs w:val="22"/>
        </w:rPr>
        <w:t>,</w:t>
      </w:r>
      <w:r w:rsidRPr="00BA76EA">
        <w:rPr>
          <w:sz w:val="22"/>
          <w:szCs w:val="22"/>
        </w:rPr>
        <w:t xml:space="preserve"> G</w:t>
      </w:r>
      <w:r w:rsidR="00305514" w:rsidRPr="00BA76EA">
        <w:rPr>
          <w:sz w:val="22"/>
          <w:szCs w:val="22"/>
        </w:rPr>
        <w:t xml:space="preserve">. </w:t>
      </w:r>
      <w:r w:rsidRPr="00BA76EA">
        <w:rPr>
          <w:sz w:val="22"/>
          <w:szCs w:val="22"/>
        </w:rPr>
        <w:t>R</w:t>
      </w:r>
      <w:r w:rsidR="00305514" w:rsidRPr="00BA76EA">
        <w:rPr>
          <w:sz w:val="22"/>
          <w:szCs w:val="22"/>
        </w:rPr>
        <w:t>.</w:t>
      </w:r>
      <w:r w:rsidRPr="00BA76EA">
        <w:rPr>
          <w:sz w:val="22"/>
          <w:szCs w:val="22"/>
        </w:rPr>
        <w:t>, Andia</w:t>
      </w:r>
      <w:r w:rsidR="00305514" w:rsidRPr="00BA76EA">
        <w:rPr>
          <w:sz w:val="22"/>
          <w:szCs w:val="22"/>
        </w:rPr>
        <w:t>,</w:t>
      </w:r>
      <w:r w:rsidRPr="00BA76EA">
        <w:rPr>
          <w:sz w:val="22"/>
          <w:szCs w:val="22"/>
        </w:rPr>
        <w:t xml:space="preserve"> D</w:t>
      </w:r>
      <w:r w:rsidR="00305514" w:rsidRPr="00BA76EA">
        <w:rPr>
          <w:sz w:val="22"/>
          <w:szCs w:val="22"/>
        </w:rPr>
        <w:t xml:space="preserve">. </w:t>
      </w:r>
      <w:r w:rsidRPr="00BA76EA">
        <w:rPr>
          <w:sz w:val="22"/>
          <w:szCs w:val="22"/>
        </w:rPr>
        <w:t>C</w:t>
      </w:r>
      <w:r w:rsidR="00305514" w:rsidRPr="00BA76EA">
        <w:rPr>
          <w:sz w:val="22"/>
          <w:szCs w:val="22"/>
        </w:rPr>
        <w:t>.</w:t>
      </w:r>
      <w:r w:rsidRPr="00BA76EA">
        <w:rPr>
          <w:sz w:val="22"/>
          <w:szCs w:val="22"/>
        </w:rPr>
        <w:t>, Salmon</w:t>
      </w:r>
      <w:r w:rsidR="00305514" w:rsidRPr="00BA76EA">
        <w:rPr>
          <w:sz w:val="22"/>
          <w:szCs w:val="22"/>
        </w:rPr>
        <w:t>,</w:t>
      </w:r>
      <w:r w:rsidRPr="00BA76EA">
        <w:rPr>
          <w:sz w:val="22"/>
          <w:szCs w:val="22"/>
        </w:rPr>
        <w:t xml:space="preserve"> C</w:t>
      </w:r>
      <w:r w:rsidR="00305514" w:rsidRPr="00BA76EA">
        <w:rPr>
          <w:sz w:val="22"/>
          <w:szCs w:val="22"/>
        </w:rPr>
        <w:t>.</w:t>
      </w:r>
      <w:r w:rsidRPr="00BA76EA">
        <w:rPr>
          <w:sz w:val="22"/>
          <w:szCs w:val="22"/>
        </w:rPr>
        <w:t>, Nociti</w:t>
      </w:r>
      <w:r w:rsidR="00305514" w:rsidRPr="00BA76EA">
        <w:rPr>
          <w:sz w:val="22"/>
          <w:szCs w:val="22"/>
        </w:rPr>
        <w:t>,</w:t>
      </w:r>
      <w:r w:rsidRPr="00BA76EA">
        <w:rPr>
          <w:sz w:val="22"/>
          <w:szCs w:val="22"/>
        </w:rPr>
        <w:t xml:space="preserve"> F</w:t>
      </w:r>
      <w:r w:rsidR="00305514" w:rsidRPr="00BA76EA">
        <w:rPr>
          <w:sz w:val="22"/>
          <w:szCs w:val="22"/>
        </w:rPr>
        <w:t xml:space="preserve">. </w:t>
      </w:r>
      <w:r w:rsidRPr="00BA76EA">
        <w:rPr>
          <w:sz w:val="22"/>
          <w:szCs w:val="22"/>
        </w:rPr>
        <w:t>H</w:t>
      </w:r>
      <w:r w:rsidR="00305514" w:rsidRPr="00BA76EA">
        <w:rPr>
          <w:sz w:val="22"/>
          <w:szCs w:val="22"/>
        </w:rPr>
        <w:t>.</w:t>
      </w:r>
      <w:r w:rsidRPr="00BA76EA">
        <w:rPr>
          <w:sz w:val="22"/>
          <w:szCs w:val="22"/>
        </w:rPr>
        <w:t>, Line</w:t>
      </w:r>
      <w:r w:rsidR="00305514" w:rsidRPr="00BA76EA">
        <w:rPr>
          <w:sz w:val="22"/>
          <w:szCs w:val="22"/>
        </w:rPr>
        <w:t>,</w:t>
      </w:r>
      <w:r w:rsidRPr="00BA76EA">
        <w:rPr>
          <w:sz w:val="22"/>
          <w:szCs w:val="22"/>
        </w:rPr>
        <w:t xml:space="preserve"> S</w:t>
      </w:r>
      <w:r w:rsidR="00305514" w:rsidRPr="00BA76EA">
        <w:rPr>
          <w:sz w:val="22"/>
          <w:szCs w:val="22"/>
        </w:rPr>
        <w:t xml:space="preserve">. </w:t>
      </w:r>
      <w:r w:rsidRPr="00BA76EA">
        <w:rPr>
          <w:sz w:val="22"/>
          <w:szCs w:val="22"/>
        </w:rPr>
        <w:t>R</w:t>
      </w:r>
      <w:r w:rsidR="00305514" w:rsidRPr="00BA76EA">
        <w:rPr>
          <w:sz w:val="22"/>
          <w:szCs w:val="22"/>
        </w:rPr>
        <w:t xml:space="preserve">. </w:t>
      </w:r>
      <w:r w:rsidRPr="00BA76EA">
        <w:rPr>
          <w:sz w:val="22"/>
          <w:szCs w:val="22"/>
        </w:rPr>
        <w:t>P</w:t>
      </w:r>
      <w:r w:rsidR="00305514" w:rsidRPr="00BA76EA">
        <w:rPr>
          <w:sz w:val="22"/>
          <w:szCs w:val="22"/>
        </w:rPr>
        <w:t>.</w:t>
      </w:r>
      <w:r w:rsidRPr="00BA76EA">
        <w:rPr>
          <w:sz w:val="22"/>
          <w:szCs w:val="22"/>
        </w:rPr>
        <w:t>, de Souza</w:t>
      </w:r>
      <w:r w:rsidR="00305514" w:rsidRPr="00BA76EA">
        <w:rPr>
          <w:sz w:val="22"/>
          <w:szCs w:val="22"/>
        </w:rPr>
        <w:t>,</w:t>
      </w:r>
      <w:r w:rsidRPr="00BA76EA">
        <w:rPr>
          <w:sz w:val="22"/>
          <w:szCs w:val="22"/>
        </w:rPr>
        <w:t xml:space="preserve"> A</w:t>
      </w:r>
      <w:r w:rsidR="00305514" w:rsidRPr="00BA76EA">
        <w:rPr>
          <w:sz w:val="22"/>
          <w:szCs w:val="22"/>
        </w:rPr>
        <w:t>.</w:t>
      </w:r>
      <w:r w:rsidRPr="00BA76EA">
        <w:rPr>
          <w:sz w:val="22"/>
          <w:szCs w:val="22"/>
        </w:rPr>
        <w:t>P.</w:t>
      </w:r>
      <w:r w:rsidR="00305514" w:rsidRPr="00BA76EA">
        <w:rPr>
          <w:sz w:val="22"/>
          <w:szCs w:val="22"/>
        </w:rPr>
        <w:t xml:space="preserve"> (2009).</w:t>
      </w:r>
      <w:r w:rsidRPr="00BA76EA">
        <w:rPr>
          <w:sz w:val="22"/>
          <w:szCs w:val="22"/>
        </w:rPr>
        <w:t xml:space="preserve"> DNA methylation status of IL8 gene promoter in oral cells of smokers and non- smokers with chronic periodontitis. </w:t>
      </w:r>
      <w:r w:rsidR="00305514" w:rsidRPr="00BA76EA">
        <w:rPr>
          <w:i/>
          <w:iCs/>
          <w:sz w:val="22"/>
          <w:szCs w:val="22"/>
        </w:rPr>
        <w:t>Journal of Clinical Periodontology,</w:t>
      </w:r>
      <w:r w:rsidRPr="00BA76EA">
        <w:rPr>
          <w:i/>
          <w:iCs/>
          <w:sz w:val="22"/>
          <w:szCs w:val="22"/>
        </w:rPr>
        <w:t xml:space="preserve"> 36</w:t>
      </w:r>
      <w:r w:rsidR="00305514" w:rsidRPr="00BA76EA">
        <w:rPr>
          <w:sz w:val="22"/>
          <w:szCs w:val="22"/>
        </w:rPr>
        <w:t xml:space="preserve">, </w:t>
      </w:r>
      <w:r w:rsidRPr="00BA76EA">
        <w:rPr>
          <w:sz w:val="22"/>
          <w:szCs w:val="22"/>
        </w:rPr>
        <w:t>719–725.</w:t>
      </w:r>
      <w:r w:rsidRPr="00BA76EA">
        <w:rPr>
          <w:sz w:val="22"/>
          <w:szCs w:val="22"/>
        </w:rPr>
        <w:t xml:space="preserve"> </w:t>
      </w:r>
      <w:r w:rsidRPr="00BA76EA">
        <w:rPr>
          <w:sz w:val="22"/>
          <w:szCs w:val="22"/>
        </w:rPr>
        <w:t xml:space="preserve">doi: 10.1111/j.1600-051X.2009.01446.x. </w:t>
      </w:r>
    </w:p>
    <w:p w14:paraId="1F73F6BE" w14:textId="77777777" w:rsidR="00D9229D" w:rsidRPr="00BA76EA" w:rsidRDefault="00D9229D" w:rsidP="00BA76EA">
      <w:pPr>
        <w:pStyle w:val="ListParagraph"/>
        <w:widowControl w:val="0"/>
        <w:autoSpaceDE w:val="0"/>
        <w:autoSpaceDN w:val="0"/>
        <w:adjustRightInd w:val="0"/>
        <w:rPr>
          <w:rFonts w:ascii="Times New Roman" w:hAnsi="Times New Roman" w:cs="Times New Roman"/>
          <w:sz w:val="22"/>
          <w:szCs w:val="22"/>
        </w:rPr>
      </w:pPr>
    </w:p>
    <w:sectPr w:rsidR="00D9229D" w:rsidRPr="00BA76EA" w:rsidSect="009A4337">
      <w:headerReference w:type="default" r:id="rId13"/>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92DD6" w14:textId="77777777" w:rsidR="00C832E7" w:rsidRDefault="00C832E7" w:rsidP="00D624E5">
      <w:r>
        <w:separator/>
      </w:r>
    </w:p>
  </w:endnote>
  <w:endnote w:type="continuationSeparator" w:id="0">
    <w:p w14:paraId="55063D4B" w14:textId="77777777" w:rsidR="00C832E7" w:rsidRDefault="00C832E7" w:rsidP="00D6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8797537"/>
      <w:docPartObj>
        <w:docPartGallery w:val="Page Numbers (Bottom of Page)"/>
        <w:docPartUnique/>
      </w:docPartObj>
    </w:sdtPr>
    <w:sdtContent>
      <w:p w14:paraId="7888512A" w14:textId="01069C00" w:rsidR="00D624E5" w:rsidRDefault="00D624E5" w:rsidP="00A623C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225E4C" w14:textId="77777777" w:rsidR="00D624E5" w:rsidRDefault="00D62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2"/>
        <w:szCs w:val="22"/>
      </w:rPr>
      <w:id w:val="1763485528"/>
      <w:docPartObj>
        <w:docPartGallery w:val="Page Numbers (Bottom of Page)"/>
        <w:docPartUnique/>
      </w:docPartObj>
    </w:sdtPr>
    <w:sdtContent>
      <w:p w14:paraId="42CEA49E" w14:textId="0C3E1F4A" w:rsidR="00D624E5" w:rsidRPr="00D624E5" w:rsidRDefault="00D624E5" w:rsidP="00A623C7">
        <w:pPr>
          <w:pStyle w:val="Footer"/>
          <w:framePr w:wrap="none" w:vAnchor="text" w:hAnchor="margin" w:xAlign="center" w:y="1"/>
          <w:rPr>
            <w:rStyle w:val="PageNumber"/>
            <w:rFonts w:ascii="Times New Roman" w:hAnsi="Times New Roman" w:cs="Times New Roman"/>
          </w:rPr>
        </w:pPr>
        <w:r w:rsidRPr="00D624E5">
          <w:rPr>
            <w:rStyle w:val="PageNumber"/>
            <w:rFonts w:ascii="Times New Roman" w:hAnsi="Times New Roman" w:cs="Times New Roman"/>
            <w:sz w:val="22"/>
            <w:szCs w:val="22"/>
          </w:rPr>
          <w:t xml:space="preserve">Epigenetic modifications of CXCL-8 - </w:t>
        </w:r>
        <w:r w:rsidRPr="00D624E5">
          <w:rPr>
            <w:rStyle w:val="PageNumber"/>
            <w:rFonts w:ascii="Times New Roman" w:hAnsi="Times New Roman" w:cs="Times New Roman"/>
            <w:sz w:val="22"/>
            <w:szCs w:val="22"/>
          </w:rPr>
          <w:fldChar w:fldCharType="begin"/>
        </w:r>
        <w:r w:rsidRPr="00D624E5">
          <w:rPr>
            <w:rStyle w:val="PageNumber"/>
            <w:rFonts w:ascii="Times New Roman" w:hAnsi="Times New Roman" w:cs="Times New Roman"/>
            <w:sz w:val="22"/>
            <w:szCs w:val="22"/>
          </w:rPr>
          <w:instrText xml:space="preserve"> PAGE </w:instrText>
        </w:r>
        <w:r w:rsidRPr="00D624E5">
          <w:rPr>
            <w:rStyle w:val="PageNumber"/>
            <w:rFonts w:ascii="Times New Roman" w:hAnsi="Times New Roman" w:cs="Times New Roman"/>
            <w:sz w:val="22"/>
            <w:szCs w:val="22"/>
          </w:rPr>
          <w:fldChar w:fldCharType="separate"/>
        </w:r>
        <w:r w:rsidRPr="00D624E5">
          <w:rPr>
            <w:rStyle w:val="PageNumber"/>
            <w:rFonts w:ascii="Times New Roman" w:hAnsi="Times New Roman" w:cs="Times New Roman"/>
            <w:noProof/>
            <w:sz w:val="22"/>
            <w:szCs w:val="22"/>
          </w:rPr>
          <w:t>1</w:t>
        </w:r>
        <w:r w:rsidRPr="00D624E5">
          <w:rPr>
            <w:rStyle w:val="PageNumber"/>
            <w:rFonts w:ascii="Times New Roman" w:hAnsi="Times New Roman" w:cs="Times New Roman"/>
            <w:sz w:val="22"/>
            <w:szCs w:val="22"/>
          </w:rPr>
          <w:fldChar w:fldCharType="end"/>
        </w:r>
      </w:p>
    </w:sdtContent>
  </w:sdt>
  <w:p w14:paraId="4FE9437B" w14:textId="77777777" w:rsidR="00D624E5" w:rsidRDefault="00D62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DECE2" w14:textId="77777777" w:rsidR="00C832E7" w:rsidRDefault="00C832E7" w:rsidP="00D624E5">
      <w:r>
        <w:separator/>
      </w:r>
    </w:p>
  </w:footnote>
  <w:footnote w:type="continuationSeparator" w:id="0">
    <w:p w14:paraId="06959765" w14:textId="77777777" w:rsidR="00C832E7" w:rsidRDefault="00C832E7" w:rsidP="00D62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03F2" w14:textId="242A09F8" w:rsidR="00D624E5" w:rsidRPr="00D624E5" w:rsidRDefault="00D624E5">
    <w:pPr>
      <w:pStyle w:val="Header"/>
      <w:rPr>
        <w:rFonts w:ascii="Times New Roman" w:hAnsi="Times New Roman" w:cs="Times New Roman"/>
      </w:rPr>
    </w:pPr>
    <w:r w:rsidRPr="00D624E5">
      <w:rPr>
        <w:rFonts w:ascii="Times New Roman" w:hAnsi="Times New Roman" w:cs="Times New Roman"/>
      </w:rPr>
      <w:t>Sahana Tharakan</w:t>
    </w:r>
  </w:p>
  <w:p w14:paraId="6535BC6E" w14:textId="77777777" w:rsidR="00D624E5" w:rsidRDefault="00D62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168C5"/>
    <w:multiLevelType w:val="hybridMultilevel"/>
    <w:tmpl w:val="602AC2C6"/>
    <w:lvl w:ilvl="0" w:tplc="1D62B9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655F7F"/>
    <w:multiLevelType w:val="hybridMultilevel"/>
    <w:tmpl w:val="22ACA9EA"/>
    <w:lvl w:ilvl="0" w:tplc="11DA23E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83ECF"/>
    <w:multiLevelType w:val="hybridMultilevel"/>
    <w:tmpl w:val="FE628A52"/>
    <w:lvl w:ilvl="0" w:tplc="940065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CE026A"/>
    <w:multiLevelType w:val="hybridMultilevel"/>
    <w:tmpl w:val="851AC3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B268E0"/>
    <w:multiLevelType w:val="hybridMultilevel"/>
    <w:tmpl w:val="44640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4F7"/>
    <w:rsid w:val="000070B2"/>
    <w:rsid w:val="0001117E"/>
    <w:rsid w:val="000176FE"/>
    <w:rsid w:val="00027709"/>
    <w:rsid w:val="000901CD"/>
    <w:rsid w:val="000A16B4"/>
    <w:rsid w:val="000B048D"/>
    <w:rsid w:val="000B49EA"/>
    <w:rsid w:val="000F11FD"/>
    <w:rsid w:val="00117F87"/>
    <w:rsid w:val="00123F31"/>
    <w:rsid w:val="00126FA6"/>
    <w:rsid w:val="00171A90"/>
    <w:rsid w:val="001E0B86"/>
    <w:rsid w:val="001F0F54"/>
    <w:rsid w:val="00236F4A"/>
    <w:rsid w:val="00245576"/>
    <w:rsid w:val="0029424C"/>
    <w:rsid w:val="002D33A0"/>
    <w:rsid w:val="002E47FD"/>
    <w:rsid w:val="00304030"/>
    <w:rsid w:val="00305514"/>
    <w:rsid w:val="00327149"/>
    <w:rsid w:val="00364955"/>
    <w:rsid w:val="003829B9"/>
    <w:rsid w:val="00384A02"/>
    <w:rsid w:val="003A5425"/>
    <w:rsid w:val="003B6CC5"/>
    <w:rsid w:val="003D51D1"/>
    <w:rsid w:val="003F39FA"/>
    <w:rsid w:val="00415895"/>
    <w:rsid w:val="00416836"/>
    <w:rsid w:val="00435374"/>
    <w:rsid w:val="00470924"/>
    <w:rsid w:val="00473718"/>
    <w:rsid w:val="00491D4E"/>
    <w:rsid w:val="00493E1B"/>
    <w:rsid w:val="004A1646"/>
    <w:rsid w:val="004D79AE"/>
    <w:rsid w:val="0050151E"/>
    <w:rsid w:val="00595CF6"/>
    <w:rsid w:val="005B11E4"/>
    <w:rsid w:val="005B74F7"/>
    <w:rsid w:val="005D43BB"/>
    <w:rsid w:val="006212F1"/>
    <w:rsid w:val="00624E54"/>
    <w:rsid w:val="006348C4"/>
    <w:rsid w:val="00641F99"/>
    <w:rsid w:val="00652DB1"/>
    <w:rsid w:val="006A316A"/>
    <w:rsid w:val="006E1921"/>
    <w:rsid w:val="006F4BAD"/>
    <w:rsid w:val="006F5F96"/>
    <w:rsid w:val="007248A8"/>
    <w:rsid w:val="00735EB7"/>
    <w:rsid w:val="00757236"/>
    <w:rsid w:val="00760E7E"/>
    <w:rsid w:val="007640C9"/>
    <w:rsid w:val="00772AC0"/>
    <w:rsid w:val="007A3584"/>
    <w:rsid w:val="007B0BE5"/>
    <w:rsid w:val="007B5D9A"/>
    <w:rsid w:val="007D0F9F"/>
    <w:rsid w:val="007E5147"/>
    <w:rsid w:val="007F67BB"/>
    <w:rsid w:val="00882683"/>
    <w:rsid w:val="00891F43"/>
    <w:rsid w:val="008E5B2E"/>
    <w:rsid w:val="009341DA"/>
    <w:rsid w:val="00940096"/>
    <w:rsid w:val="009527C4"/>
    <w:rsid w:val="0097082F"/>
    <w:rsid w:val="00970DD8"/>
    <w:rsid w:val="00972CE8"/>
    <w:rsid w:val="00976F34"/>
    <w:rsid w:val="00982891"/>
    <w:rsid w:val="009871EE"/>
    <w:rsid w:val="009A3FDD"/>
    <w:rsid w:val="009A4337"/>
    <w:rsid w:val="009E1300"/>
    <w:rsid w:val="009E3FA3"/>
    <w:rsid w:val="00A02A3C"/>
    <w:rsid w:val="00A06559"/>
    <w:rsid w:val="00A213DE"/>
    <w:rsid w:val="00A43717"/>
    <w:rsid w:val="00A527D6"/>
    <w:rsid w:val="00A6532D"/>
    <w:rsid w:val="00A65760"/>
    <w:rsid w:val="00A97E44"/>
    <w:rsid w:val="00AB7CF1"/>
    <w:rsid w:val="00AC707B"/>
    <w:rsid w:val="00AD14E7"/>
    <w:rsid w:val="00B1096E"/>
    <w:rsid w:val="00B42594"/>
    <w:rsid w:val="00BA76EA"/>
    <w:rsid w:val="00BE4BE2"/>
    <w:rsid w:val="00C04603"/>
    <w:rsid w:val="00C1637E"/>
    <w:rsid w:val="00C172F6"/>
    <w:rsid w:val="00C32453"/>
    <w:rsid w:val="00C5357B"/>
    <w:rsid w:val="00C642D9"/>
    <w:rsid w:val="00C740B6"/>
    <w:rsid w:val="00C832E7"/>
    <w:rsid w:val="00C83FDE"/>
    <w:rsid w:val="00CA070A"/>
    <w:rsid w:val="00CD41A6"/>
    <w:rsid w:val="00CD4EDC"/>
    <w:rsid w:val="00CE50B6"/>
    <w:rsid w:val="00CF24AA"/>
    <w:rsid w:val="00D00DC7"/>
    <w:rsid w:val="00D27735"/>
    <w:rsid w:val="00D60B43"/>
    <w:rsid w:val="00D624E5"/>
    <w:rsid w:val="00D703CE"/>
    <w:rsid w:val="00D740C4"/>
    <w:rsid w:val="00D9229D"/>
    <w:rsid w:val="00DB0FAA"/>
    <w:rsid w:val="00DC325C"/>
    <w:rsid w:val="00E04131"/>
    <w:rsid w:val="00E562BB"/>
    <w:rsid w:val="00E658AC"/>
    <w:rsid w:val="00E815D1"/>
    <w:rsid w:val="00EF45B3"/>
    <w:rsid w:val="00F13FE3"/>
    <w:rsid w:val="00F87474"/>
    <w:rsid w:val="00FA2BDC"/>
    <w:rsid w:val="00FB24E4"/>
    <w:rsid w:val="00FB7DA2"/>
    <w:rsid w:val="00FF4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2832C"/>
  <w14:defaultImageDpi w14:val="32767"/>
  <w15:chartTrackingRefBased/>
  <w15:docId w15:val="{7AC9832B-5BDF-4046-9358-F2345106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0151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6FE"/>
    <w:pPr>
      <w:ind w:left="720"/>
      <w:contextualSpacing/>
    </w:pPr>
  </w:style>
  <w:style w:type="character" w:styleId="Hyperlink">
    <w:name w:val="Hyperlink"/>
    <w:basedOn w:val="DefaultParagraphFont"/>
    <w:uiPriority w:val="99"/>
    <w:unhideWhenUsed/>
    <w:rsid w:val="00C642D9"/>
    <w:rPr>
      <w:color w:val="0563C1" w:themeColor="hyperlink"/>
      <w:u w:val="single"/>
    </w:rPr>
  </w:style>
  <w:style w:type="character" w:styleId="UnresolvedMention">
    <w:name w:val="Unresolved Mention"/>
    <w:basedOn w:val="DefaultParagraphFont"/>
    <w:uiPriority w:val="99"/>
    <w:rsid w:val="00C642D9"/>
    <w:rPr>
      <w:color w:val="605E5C"/>
      <w:shd w:val="clear" w:color="auto" w:fill="E1DFDD"/>
    </w:rPr>
  </w:style>
  <w:style w:type="character" w:styleId="FollowedHyperlink">
    <w:name w:val="FollowedHyperlink"/>
    <w:basedOn w:val="DefaultParagraphFont"/>
    <w:uiPriority w:val="99"/>
    <w:semiHidden/>
    <w:unhideWhenUsed/>
    <w:rsid w:val="007E5147"/>
    <w:rPr>
      <w:color w:val="954F72" w:themeColor="followedHyperlink"/>
      <w:u w:val="single"/>
    </w:rPr>
  </w:style>
  <w:style w:type="character" w:customStyle="1" w:styleId="Heading1Char">
    <w:name w:val="Heading 1 Char"/>
    <w:basedOn w:val="DefaultParagraphFont"/>
    <w:link w:val="Heading1"/>
    <w:uiPriority w:val="9"/>
    <w:rsid w:val="0050151E"/>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B10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096E"/>
    <w:rPr>
      <w:rFonts w:ascii="Courier New" w:eastAsia="Times New Roman" w:hAnsi="Courier New" w:cs="Courier New"/>
      <w:sz w:val="20"/>
      <w:szCs w:val="20"/>
    </w:rPr>
  </w:style>
  <w:style w:type="character" w:customStyle="1" w:styleId="ffline">
    <w:name w:val="ff_line"/>
    <w:basedOn w:val="DefaultParagraphFont"/>
    <w:rsid w:val="00B1096E"/>
  </w:style>
  <w:style w:type="character" w:styleId="PlaceholderText">
    <w:name w:val="Placeholder Text"/>
    <w:basedOn w:val="DefaultParagraphFont"/>
    <w:uiPriority w:val="99"/>
    <w:semiHidden/>
    <w:rsid w:val="00F13FE3"/>
    <w:rPr>
      <w:color w:val="808080"/>
    </w:rPr>
  </w:style>
  <w:style w:type="paragraph" w:styleId="NormalWeb">
    <w:name w:val="Normal (Web)"/>
    <w:basedOn w:val="Normal"/>
    <w:uiPriority w:val="99"/>
    <w:unhideWhenUsed/>
    <w:rsid w:val="007D0F9F"/>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D624E5"/>
    <w:pPr>
      <w:tabs>
        <w:tab w:val="center" w:pos="4680"/>
        <w:tab w:val="right" w:pos="9360"/>
      </w:tabs>
    </w:pPr>
  </w:style>
  <w:style w:type="character" w:customStyle="1" w:styleId="FooterChar">
    <w:name w:val="Footer Char"/>
    <w:basedOn w:val="DefaultParagraphFont"/>
    <w:link w:val="Footer"/>
    <w:uiPriority w:val="99"/>
    <w:rsid w:val="00D624E5"/>
  </w:style>
  <w:style w:type="character" w:styleId="PageNumber">
    <w:name w:val="page number"/>
    <w:basedOn w:val="DefaultParagraphFont"/>
    <w:uiPriority w:val="99"/>
    <w:semiHidden/>
    <w:unhideWhenUsed/>
    <w:rsid w:val="00D624E5"/>
  </w:style>
  <w:style w:type="paragraph" w:styleId="Header">
    <w:name w:val="header"/>
    <w:basedOn w:val="Normal"/>
    <w:link w:val="HeaderChar"/>
    <w:uiPriority w:val="99"/>
    <w:unhideWhenUsed/>
    <w:rsid w:val="00D624E5"/>
    <w:pPr>
      <w:tabs>
        <w:tab w:val="center" w:pos="4680"/>
        <w:tab w:val="right" w:pos="9360"/>
      </w:tabs>
    </w:pPr>
  </w:style>
  <w:style w:type="character" w:customStyle="1" w:styleId="HeaderChar">
    <w:name w:val="Header Char"/>
    <w:basedOn w:val="DefaultParagraphFont"/>
    <w:link w:val="Header"/>
    <w:uiPriority w:val="99"/>
    <w:rsid w:val="00D62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53917">
      <w:bodyDiv w:val="1"/>
      <w:marLeft w:val="0"/>
      <w:marRight w:val="0"/>
      <w:marTop w:val="0"/>
      <w:marBottom w:val="0"/>
      <w:divBdr>
        <w:top w:val="none" w:sz="0" w:space="0" w:color="auto"/>
        <w:left w:val="none" w:sz="0" w:space="0" w:color="auto"/>
        <w:bottom w:val="none" w:sz="0" w:space="0" w:color="auto"/>
        <w:right w:val="none" w:sz="0" w:space="0" w:color="auto"/>
      </w:divBdr>
      <w:divsChild>
        <w:div w:id="1603487058">
          <w:marLeft w:val="0"/>
          <w:marRight w:val="0"/>
          <w:marTop w:val="0"/>
          <w:marBottom w:val="0"/>
          <w:divBdr>
            <w:top w:val="none" w:sz="0" w:space="0" w:color="auto"/>
            <w:left w:val="none" w:sz="0" w:space="0" w:color="auto"/>
            <w:bottom w:val="none" w:sz="0" w:space="0" w:color="auto"/>
            <w:right w:val="none" w:sz="0" w:space="0" w:color="auto"/>
          </w:divBdr>
          <w:divsChild>
            <w:div w:id="837768030">
              <w:marLeft w:val="0"/>
              <w:marRight w:val="0"/>
              <w:marTop w:val="0"/>
              <w:marBottom w:val="0"/>
              <w:divBdr>
                <w:top w:val="none" w:sz="0" w:space="0" w:color="auto"/>
                <w:left w:val="none" w:sz="0" w:space="0" w:color="auto"/>
                <w:bottom w:val="none" w:sz="0" w:space="0" w:color="auto"/>
                <w:right w:val="none" w:sz="0" w:space="0" w:color="auto"/>
              </w:divBdr>
              <w:divsChild>
                <w:div w:id="5121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22574">
      <w:bodyDiv w:val="1"/>
      <w:marLeft w:val="0"/>
      <w:marRight w:val="0"/>
      <w:marTop w:val="0"/>
      <w:marBottom w:val="0"/>
      <w:divBdr>
        <w:top w:val="none" w:sz="0" w:space="0" w:color="auto"/>
        <w:left w:val="none" w:sz="0" w:space="0" w:color="auto"/>
        <w:bottom w:val="none" w:sz="0" w:space="0" w:color="auto"/>
        <w:right w:val="none" w:sz="0" w:space="0" w:color="auto"/>
      </w:divBdr>
      <w:divsChild>
        <w:div w:id="785544971">
          <w:marLeft w:val="0"/>
          <w:marRight w:val="0"/>
          <w:marTop w:val="0"/>
          <w:marBottom w:val="0"/>
          <w:divBdr>
            <w:top w:val="none" w:sz="0" w:space="0" w:color="auto"/>
            <w:left w:val="none" w:sz="0" w:space="0" w:color="auto"/>
            <w:bottom w:val="none" w:sz="0" w:space="0" w:color="auto"/>
            <w:right w:val="none" w:sz="0" w:space="0" w:color="auto"/>
          </w:divBdr>
          <w:divsChild>
            <w:div w:id="1776901308">
              <w:marLeft w:val="0"/>
              <w:marRight w:val="0"/>
              <w:marTop w:val="0"/>
              <w:marBottom w:val="0"/>
              <w:divBdr>
                <w:top w:val="none" w:sz="0" w:space="0" w:color="auto"/>
                <w:left w:val="none" w:sz="0" w:space="0" w:color="auto"/>
                <w:bottom w:val="none" w:sz="0" w:space="0" w:color="auto"/>
                <w:right w:val="none" w:sz="0" w:space="0" w:color="auto"/>
              </w:divBdr>
              <w:divsChild>
                <w:div w:id="520558663">
                  <w:marLeft w:val="0"/>
                  <w:marRight w:val="0"/>
                  <w:marTop w:val="0"/>
                  <w:marBottom w:val="0"/>
                  <w:divBdr>
                    <w:top w:val="none" w:sz="0" w:space="0" w:color="auto"/>
                    <w:left w:val="none" w:sz="0" w:space="0" w:color="auto"/>
                    <w:bottom w:val="none" w:sz="0" w:space="0" w:color="auto"/>
                    <w:right w:val="none" w:sz="0" w:space="0" w:color="auto"/>
                  </w:divBdr>
                  <w:divsChild>
                    <w:div w:id="18972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37200">
      <w:bodyDiv w:val="1"/>
      <w:marLeft w:val="0"/>
      <w:marRight w:val="0"/>
      <w:marTop w:val="0"/>
      <w:marBottom w:val="0"/>
      <w:divBdr>
        <w:top w:val="none" w:sz="0" w:space="0" w:color="auto"/>
        <w:left w:val="none" w:sz="0" w:space="0" w:color="auto"/>
        <w:bottom w:val="none" w:sz="0" w:space="0" w:color="auto"/>
        <w:right w:val="none" w:sz="0" w:space="0" w:color="auto"/>
      </w:divBdr>
    </w:div>
    <w:div w:id="590940959">
      <w:bodyDiv w:val="1"/>
      <w:marLeft w:val="0"/>
      <w:marRight w:val="0"/>
      <w:marTop w:val="0"/>
      <w:marBottom w:val="0"/>
      <w:divBdr>
        <w:top w:val="none" w:sz="0" w:space="0" w:color="auto"/>
        <w:left w:val="none" w:sz="0" w:space="0" w:color="auto"/>
        <w:bottom w:val="none" w:sz="0" w:space="0" w:color="auto"/>
        <w:right w:val="none" w:sz="0" w:space="0" w:color="auto"/>
      </w:divBdr>
    </w:div>
    <w:div w:id="618803487">
      <w:bodyDiv w:val="1"/>
      <w:marLeft w:val="0"/>
      <w:marRight w:val="0"/>
      <w:marTop w:val="0"/>
      <w:marBottom w:val="0"/>
      <w:divBdr>
        <w:top w:val="none" w:sz="0" w:space="0" w:color="auto"/>
        <w:left w:val="none" w:sz="0" w:space="0" w:color="auto"/>
        <w:bottom w:val="none" w:sz="0" w:space="0" w:color="auto"/>
        <w:right w:val="none" w:sz="0" w:space="0" w:color="auto"/>
      </w:divBdr>
    </w:div>
    <w:div w:id="715470185">
      <w:bodyDiv w:val="1"/>
      <w:marLeft w:val="0"/>
      <w:marRight w:val="0"/>
      <w:marTop w:val="0"/>
      <w:marBottom w:val="0"/>
      <w:divBdr>
        <w:top w:val="none" w:sz="0" w:space="0" w:color="auto"/>
        <w:left w:val="none" w:sz="0" w:space="0" w:color="auto"/>
        <w:bottom w:val="none" w:sz="0" w:space="0" w:color="auto"/>
        <w:right w:val="none" w:sz="0" w:space="0" w:color="auto"/>
      </w:divBdr>
    </w:div>
    <w:div w:id="733895656">
      <w:bodyDiv w:val="1"/>
      <w:marLeft w:val="0"/>
      <w:marRight w:val="0"/>
      <w:marTop w:val="0"/>
      <w:marBottom w:val="0"/>
      <w:divBdr>
        <w:top w:val="none" w:sz="0" w:space="0" w:color="auto"/>
        <w:left w:val="none" w:sz="0" w:space="0" w:color="auto"/>
        <w:bottom w:val="none" w:sz="0" w:space="0" w:color="auto"/>
        <w:right w:val="none" w:sz="0" w:space="0" w:color="auto"/>
      </w:divBdr>
    </w:div>
    <w:div w:id="780077966">
      <w:bodyDiv w:val="1"/>
      <w:marLeft w:val="0"/>
      <w:marRight w:val="0"/>
      <w:marTop w:val="0"/>
      <w:marBottom w:val="0"/>
      <w:divBdr>
        <w:top w:val="none" w:sz="0" w:space="0" w:color="auto"/>
        <w:left w:val="none" w:sz="0" w:space="0" w:color="auto"/>
        <w:bottom w:val="none" w:sz="0" w:space="0" w:color="auto"/>
        <w:right w:val="none" w:sz="0" w:space="0" w:color="auto"/>
      </w:divBdr>
      <w:divsChild>
        <w:div w:id="1581331854">
          <w:marLeft w:val="0"/>
          <w:marRight w:val="0"/>
          <w:marTop w:val="0"/>
          <w:marBottom w:val="0"/>
          <w:divBdr>
            <w:top w:val="none" w:sz="0" w:space="0" w:color="auto"/>
            <w:left w:val="none" w:sz="0" w:space="0" w:color="auto"/>
            <w:bottom w:val="none" w:sz="0" w:space="0" w:color="auto"/>
            <w:right w:val="none" w:sz="0" w:space="0" w:color="auto"/>
          </w:divBdr>
          <w:divsChild>
            <w:div w:id="709037867">
              <w:marLeft w:val="0"/>
              <w:marRight w:val="0"/>
              <w:marTop w:val="0"/>
              <w:marBottom w:val="0"/>
              <w:divBdr>
                <w:top w:val="none" w:sz="0" w:space="0" w:color="auto"/>
                <w:left w:val="none" w:sz="0" w:space="0" w:color="auto"/>
                <w:bottom w:val="none" w:sz="0" w:space="0" w:color="auto"/>
                <w:right w:val="none" w:sz="0" w:space="0" w:color="auto"/>
              </w:divBdr>
              <w:divsChild>
                <w:div w:id="7430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99101">
      <w:bodyDiv w:val="1"/>
      <w:marLeft w:val="0"/>
      <w:marRight w:val="0"/>
      <w:marTop w:val="0"/>
      <w:marBottom w:val="0"/>
      <w:divBdr>
        <w:top w:val="none" w:sz="0" w:space="0" w:color="auto"/>
        <w:left w:val="none" w:sz="0" w:space="0" w:color="auto"/>
        <w:bottom w:val="none" w:sz="0" w:space="0" w:color="auto"/>
        <w:right w:val="none" w:sz="0" w:space="0" w:color="auto"/>
      </w:divBdr>
    </w:div>
    <w:div w:id="859514921">
      <w:bodyDiv w:val="1"/>
      <w:marLeft w:val="0"/>
      <w:marRight w:val="0"/>
      <w:marTop w:val="0"/>
      <w:marBottom w:val="0"/>
      <w:divBdr>
        <w:top w:val="none" w:sz="0" w:space="0" w:color="auto"/>
        <w:left w:val="none" w:sz="0" w:space="0" w:color="auto"/>
        <w:bottom w:val="none" w:sz="0" w:space="0" w:color="auto"/>
        <w:right w:val="none" w:sz="0" w:space="0" w:color="auto"/>
      </w:divBdr>
    </w:div>
    <w:div w:id="929047535">
      <w:bodyDiv w:val="1"/>
      <w:marLeft w:val="0"/>
      <w:marRight w:val="0"/>
      <w:marTop w:val="0"/>
      <w:marBottom w:val="0"/>
      <w:divBdr>
        <w:top w:val="none" w:sz="0" w:space="0" w:color="auto"/>
        <w:left w:val="none" w:sz="0" w:space="0" w:color="auto"/>
        <w:bottom w:val="none" w:sz="0" w:space="0" w:color="auto"/>
        <w:right w:val="none" w:sz="0" w:space="0" w:color="auto"/>
      </w:divBdr>
      <w:divsChild>
        <w:div w:id="1635914708">
          <w:marLeft w:val="0"/>
          <w:marRight w:val="0"/>
          <w:marTop w:val="0"/>
          <w:marBottom w:val="0"/>
          <w:divBdr>
            <w:top w:val="none" w:sz="0" w:space="0" w:color="auto"/>
            <w:left w:val="none" w:sz="0" w:space="0" w:color="auto"/>
            <w:bottom w:val="none" w:sz="0" w:space="0" w:color="auto"/>
            <w:right w:val="none" w:sz="0" w:space="0" w:color="auto"/>
          </w:divBdr>
          <w:divsChild>
            <w:div w:id="2142569735">
              <w:marLeft w:val="0"/>
              <w:marRight w:val="0"/>
              <w:marTop w:val="0"/>
              <w:marBottom w:val="0"/>
              <w:divBdr>
                <w:top w:val="none" w:sz="0" w:space="0" w:color="auto"/>
                <w:left w:val="none" w:sz="0" w:space="0" w:color="auto"/>
                <w:bottom w:val="none" w:sz="0" w:space="0" w:color="auto"/>
                <w:right w:val="none" w:sz="0" w:space="0" w:color="auto"/>
              </w:divBdr>
              <w:divsChild>
                <w:div w:id="15166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5489">
      <w:bodyDiv w:val="1"/>
      <w:marLeft w:val="0"/>
      <w:marRight w:val="0"/>
      <w:marTop w:val="0"/>
      <w:marBottom w:val="0"/>
      <w:divBdr>
        <w:top w:val="none" w:sz="0" w:space="0" w:color="auto"/>
        <w:left w:val="none" w:sz="0" w:space="0" w:color="auto"/>
        <w:bottom w:val="none" w:sz="0" w:space="0" w:color="auto"/>
        <w:right w:val="none" w:sz="0" w:space="0" w:color="auto"/>
      </w:divBdr>
      <w:divsChild>
        <w:div w:id="85152532">
          <w:marLeft w:val="0"/>
          <w:marRight w:val="0"/>
          <w:marTop w:val="0"/>
          <w:marBottom w:val="0"/>
          <w:divBdr>
            <w:top w:val="none" w:sz="0" w:space="0" w:color="auto"/>
            <w:left w:val="none" w:sz="0" w:space="0" w:color="auto"/>
            <w:bottom w:val="none" w:sz="0" w:space="0" w:color="auto"/>
            <w:right w:val="none" w:sz="0" w:space="0" w:color="auto"/>
          </w:divBdr>
          <w:divsChild>
            <w:div w:id="1402633712">
              <w:marLeft w:val="0"/>
              <w:marRight w:val="0"/>
              <w:marTop w:val="0"/>
              <w:marBottom w:val="0"/>
              <w:divBdr>
                <w:top w:val="none" w:sz="0" w:space="0" w:color="auto"/>
                <w:left w:val="none" w:sz="0" w:space="0" w:color="auto"/>
                <w:bottom w:val="none" w:sz="0" w:space="0" w:color="auto"/>
                <w:right w:val="none" w:sz="0" w:space="0" w:color="auto"/>
              </w:divBdr>
              <w:divsChild>
                <w:div w:id="924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6616">
      <w:bodyDiv w:val="1"/>
      <w:marLeft w:val="0"/>
      <w:marRight w:val="0"/>
      <w:marTop w:val="0"/>
      <w:marBottom w:val="0"/>
      <w:divBdr>
        <w:top w:val="none" w:sz="0" w:space="0" w:color="auto"/>
        <w:left w:val="none" w:sz="0" w:space="0" w:color="auto"/>
        <w:bottom w:val="none" w:sz="0" w:space="0" w:color="auto"/>
        <w:right w:val="none" w:sz="0" w:space="0" w:color="auto"/>
      </w:divBdr>
      <w:divsChild>
        <w:div w:id="366225005">
          <w:marLeft w:val="0"/>
          <w:marRight w:val="0"/>
          <w:marTop w:val="0"/>
          <w:marBottom w:val="0"/>
          <w:divBdr>
            <w:top w:val="none" w:sz="0" w:space="0" w:color="auto"/>
            <w:left w:val="none" w:sz="0" w:space="0" w:color="auto"/>
            <w:bottom w:val="none" w:sz="0" w:space="0" w:color="auto"/>
            <w:right w:val="none" w:sz="0" w:space="0" w:color="auto"/>
          </w:divBdr>
          <w:divsChild>
            <w:div w:id="1027826382">
              <w:marLeft w:val="0"/>
              <w:marRight w:val="0"/>
              <w:marTop w:val="0"/>
              <w:marBottom w:val="0"/>
              <w:divBdr>
                <w:top w:val="none" w:sz="0" w:space="0" w:color="auto"/>
                <w:left w:val="none" w:sz="0" w:space="0" w:color="auto"/>
                <w:bottom w:val="none" w:sz="0" w:space="0" w:color="auto"/>
                <w:right w:val="none" w:sz="0" w:space="0" w:color="auto"/>
              </w:divBdr>
              <w:divsChild>
                <w:div w:id="59208600">
                  <w:marLeft w:val="0"/>
                  <w:marRight w:val="0"/>
                  <w:marTop w:val="0"/>
                  <w:marBottom w:val="0"/>
                  <w:divBdr>
                    <w:top w:val="none" w:sz="0" w:space="0" w:color="auto"/>
                    <w:left w:val="none" w:sz="0" w:space="0" w:color="auto"/>
                    <w:bottom w:val="none" w:sz="0" w:space="0" w:color="auto"/>
                    <w:right w:val="none" w:sz="0" w:space="0" w:color="auto"/>
                  </w:divBdr>
                  <w:divsChild>
                    <w:div w:id="17720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33993">
      <w:bodyDiv w:val="1"/>
      <w:marLeft w:val="0"/>
      <w:marRight w:val="0"/>
      <w:marTop w:val="0"/>
      <w:marBottom w:val="0"/>
      <w:divBdr>
        <w:top w:val="none" w:sz="0" w:space="0" w:color="auto"/>
        <w:left w:val="none" w:sz="0" w:space="0" w:color="auto"/>
        <w:bottom w:val="none" w:sz="0" w:space="0" w:color="auto"/>
        <w:right w:val="none" w:sz="0" w:space="0" w:color="auto"/>
      </w:divBdr>
    </w:div>
    <w:div w:id="1258905861">
      <w:bodyDiv w:val="1"/>
      <w:marLeft w:val="0"/>
      <w:marRight w:val="0"/>
      <w:marTop w:val="0"/>
      <w:marBottom w:val="0"/>
      <w:divBdr>
        <w:top w:val="none" w:sz="0" w:space="0" w:color="auto"/>
        <w:left w:val="none" w:sz="0" w:space="0" w:color="auto"/>
        <w:bottom w:val="none" w:sz="0" w:space="0" w:color="auto"/>
        <w:right w:val="none" w:sz="0" w:space="0" w:color="auto"/>
      </w:divBdr>
    </w:div>
    <w:div w:id="1442140720">
      <w:bodyDiv w:val="1"/>
      <w:marLeft w:val="0"/>
      <w:marRight w:val="0"/>
      <w:marTop w:val="0"/>
      <w:marBottom w:val="0"/>
      <w:divBdr>
        <w:top w:val="none" w:sz="0" w:space="0" w:color="auto"/>
        <w:left w:val="none" w:sz="0" w:space="0" w:color="auto"/>
        <w:bottom w:val="none" w:sz="0" w:space="0" w:color="auto"/>
        <w:right w:val="none" w:sz="0" w:space="0" w:color="auto"/>
      </w:divBdr>
    </w:div>
    <w:div w:id="1475684247">
      <w:bodyDiv w:val="1"/>
      <w:marLeft w:val="0"/>
      <w:marRight w:val="0"/>
      <w:marTop w:val="0"/>
      <w:marBottom w:val="0"/>
      <w:divBdr>
        <w:top w:val="none" w:sz="0" w:space="0" w:color="auto"/>
        <w:left w:val="none" w:sz="0" w:space="0" w:color="auto"/>
        <w:bottom w:val="none" w:sz="0" w:space="0" w:color="auto"/>
        <w:right w:val="none" w:sz="0" w:space="0" w:color="auto"/>
      </w:divBdr>
      <w:divsChild>
        <w:div w:id="787119455">
          <w:marLeft w:val="0"/>
          <w:marRight w:val="0"/>
          <w:marTop w:val="0"/>
          <w:marBottom w:val="0"/>
          <w:divBdr>
            <w:top w:val="none" w:sz="0" w:space="0" w:color="auto"/>
            <w:left w:val="none" w:sz="0" w:space="0" w:color="auto"/>
            <w:bottom w:val="none" w:sz="0" w:space="0" w:color="auto"/>
            <w:right w:val="none" w:sz="0" w:space="0" w:color="auto"/>
          </w:divBdr>
          <w:divsChild>
            <w:div w:id="1041827858">
              <w:marLeft w:val="0"/>
              <w:marRight w:val="0"/>
              <w:marTop w:val="0"/>
              <w:marBottom w:val="0"/>
              <w:divBdr>
                <w:top w:val="none" w:sz="0" w:space="0" w:color="auto"/>
                <w:left w:val="none" w:sz="0" w:space="0" w:color="auto"/>
                <w:bottom w:val="none" w:sz="0" w:space="0" w:color="auto"/>
                <w:right w:val="none" w:sz="0" w:space="0" w:color="auto"/>
              </w:divBdr>
              <w:divsChild>
                <w:div w:id="16337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70797">
      <w:bodyDiv w:val="1"/>
      <w:marLeft w:val="0"/>
      <w:marRight w:val="0"/>
      <w:marTop w:val="0"/>
      <w:marBottom w:val="0"/>
      <w:divBdr>
        <w:top w:val="none" w:sz="0" w:space="0" w:color="auto"/>
        <w:left w:val="none" w:sz="0" w:space="0" w:color="auto"/>
        <w:bottom w:val="none" w:sz="0" w:space="0" w:color="auto"/>
        <w:right w:val="none" w:sz="0" w:space="0" w:color="auto"/>
      </w:divBdr>
      <w:divsChild>
        <w:div w:id="1798251935">
          <w:marLeft w:val="0"/>
          <w:marRight w:val="0"/>
          <w:marTop w:val="0"/>
          <w:marBottom w:val="0"/>
          <w:divBdr>
            <w:top w:val="none" w:sz="0" w:space="0" w:color="auto"/>
            <w:left w:val="none" w:sz="0" w:space="0" w:color="auto"/>
            <w:bottom w:val="none" w:sz="0" w:space="0" w:color="auto"/>
            <w:right w:val="none" w:sz="0" w:space="0" w:color="auto"/>
          </w:divBdr>
          <w:divsChild>
            <w:div w:id="861746546">
              <w:marLeft w:val="0"/>
              <w:marRight w:val="0"/>
              <w:marTop w:val="0"/>
              <w:marBottom w:val="0"/>
              <w:divBdr>
                <w:top w:val="none" w:sz="0" w:space="0" w:color="auto"/>
                <w:left w:val="none" w:sz="0" w:space="0" w:color="auto"/>
                <w:bottom w:val="none" w:sz="0" w:space="0" w:color="auto"/>
                <w:right w:val="none" w:sz="0" w:space="0" w:color="auto"/>
              </w:divBdr>
              <w:divsChild>
                <w:div w:id="6088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8383">
      <w:bodyDiv w:val="1"/>
      <w:marLeft w:val="0"/>
      <w:marRight w:val="0"/>
      <w:marTop w:val="0"/>
      <w:marBottom w:val="0"/>
      <w:divBdr>
        <w:top w:val="none" w:sz="0" w:space="0" w:color="auto"/>
        <w:left w:val="none" w:sz="0" w:space="0" w:color="auto"/>
        <w:bottom w:val="none" w:sz="0" w:space="0" w:color="auto"/>
        <w:right w:val="none" w:sz="0" w:space="0" w:color="auto"/>
      </w:divBdr>
      <w:divsChild>
        <w:div w:id="1000931794">
          <w:marLeft w:val="0"/>
          <w:marRight w:val="0"/>
          <w:marTop w:val="0"/>
          <w:marBottom w:val="0"/>
          <w:divBdr>
            <w:top w:val="none" w:sz="0" w:space="0" w:color="auto"/>
            <w:left w:val="none" w:sz="0" w:space="0" w:color="auto"/>
            <w:bottom w:val="none" w:sz="0" w:space="0" w:color="auto"/>
            <w:right w:val="none" w:sz="0" w:space="0" w:color="auto"/>
          </w:divBdr>
          <w:divsChild>
            <w:div w:id="822350581">
              <w:marLeft w:val="0"/>
              <w:marRight w:val="0"/>
              <w:marTop w:val="0"/>
              <w:marBottom w:val="0"/>
              <w:divBdr>
                <w:top w:val="none" w:sz="0" w:space="0" w:color="auto"/>
                <w:left w:val="none" w:sz="0" w:space="0" w:color="auto"/>
                <w:bottom w:val="none" w:sz="0" w:space="0" w:color="auto"/>
                <w:right w:val="none" w:sz="0" w:space="0" w:color="auto"/>
              </w:divBdr>
              <w:divsChild>
                <w:div w:id="19936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88568">
      <w:bodyDiv w:val="1"/>
      <w:marLeft w:val="0"/>
      <w:marRight w:val="0"/>
      <w:marTop w:val="0"/>
      <w:marBottom w:val="0"/>
      <w:divBdr>
        <w:top w:val="none" w:sz="0" w:space="0" w:color="auto"/>
        <w:left w:val="none" w:sz="0" w:space="0" w:color="auto"/>
        <w:bottom w:val="none" w:sz="0" w:space="0" w:color="auto"/>
        <w:right w:val="none" w:sz="0" w:space="0" w:color="auto"/>
      </w:divBdr>
      <w:divsChild>
        <w:div w:id="80487515">
          <w:marLeft w:val="0"/>
          <w:marRight w:val="0"/>
          <w:marTop w:val="0"/>
          <w:marBottom w:val="0"/>
          <w:divBdr>
            <w:top w:val="none" w:sz="0" w:space="0" w:color="auto"/>
            <w:left w:val="none" w:sz="0" w:space="0" w:color="auto"/>
            <w:bottom w:val="none" w:sz="0" w:space="0" w:color="auto"/>
            <w:right w:val="none" w:sz="0" w:space="0" w:color="auto"/>
          </w:divBdr>
          <w:divsChild>
            <w:div w:id="276982932">
              <w:marLeft w:val="0"/>
              <w:marRight w:val="0"/>
              <w:marTop w:val="0"/>
              <w:marBottom w:val="0"/>
              <w:divBdr>
                <w:top w:val="none" w:sz="0" w:space="0" w:color="auto"/>
                <w:left w:val="none" w:sz="0" w:space="0" w:color="auto"/>
                <w:bottom w:val="none" w:sz="0" w:space="0" w:color="auto"/>
                <w:right w:val="none" w:sz="0" w:space="0" w:color="auto"/>
              </w:divBdr>
              <w:divsChild>
                <w:div w:id="5671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2416">
      <w:bodyDiv w:val="1"/>
      <w:marLeft w:val="0"/>
      <w:marRight w:val="0"/>
      <w:marTop w:val="0"/>
      <w:marBottom w:val="0"/>
      <w:divBdr>
        <w:top w:val="none" w:sz="0" w:space="0" w:color="auto"/>
        <w:left w:val="none" w:sz="0" w:space="0" w:color="auto"/>
        <w:bottom w:val="none" w:sz="0" w:space="0" w:color="auto"/>
        <w:right w:val="none" w:sz="0" w:space="0" w:color="auto"/>
      </w:divBdr>
      <w:divsChild>
        <w:div w:id="927346867">
          <w:marLeft w:val="0"/>
          <w:marRight w:val="0"/>
          <w:marTop w:val="0"/>
          <w:marBottom w:val="0"/>
          <w:divBdr>
            <w:top w:val="none" w:sz="0" w:space="0" w:color="auto"/>
            <w:left w:val="none" w:sz="0" w:space="0" w:color="auto"/>
            <w:bottom w:val="none" w:sz="0" w:space="0" w:color="auto"/>
            <w:right w:val="none" w:sz="0" w:space="0" w:color="auto"/>
          </w:divBdr>
          <w:divsChild>
            <w:div w:id="179591479">
              <w:marLeft w:val="0"/>
              <w:marRight w:val="0"/>
              <w:marTop w:val="0"/>
              <w:marBottom w:val="0"/>
              <w:divBdr>
                <w:top w:val="none" w:sz="0" w:space="0" w:color="auto"/>
                <w:left w:val="none" w:sz="0" w:space="0" w:color="auto"/>
                <w:bottom w:val="none" w:sz="0" w:space="0" w:color="auto"/>
                <w:right w:val="none" w:sz="0" w:space="0" w:color="auto"/>
              </w:divBdr>
              <w:divsChild>
                <w:div w:id="5609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82259">
      <w:bodyDiv w:val="1"/>
      <w:marLeft w:val="0"/>
      <w:marRight w:val="0"/>
      <w:marTop w:val="0"/>
      <w:marBottom w:val="0"/>
      <w:divBdr>
        <w:top w:val="none" w:sz="0" w:space="0" w:color="auto"/>
        <w:left w:val="none" w:sz="0" w:space="0" w:color="auto"/>
        <w:bottom w:val="none" w:sz="0" w:space="0" w:color="auto"/>
        <w:right w:val="none" w:sz="0" w:space="0" w:color="auto"/>
      </w:divBdr>
      <w:divsChild>
        <w:div w:id="1748503155">
          <w:marLeft w:val="0"/>
          <w:marRight w:val="0"/>
          <w:marTop w:val="0"/>
          <w:marBottom w:val="0"/>
          <w:divBdr>
            <w:top w:val="none" w:sz="0" w:space="0" w:color="auto"/>
            <w:left w:val="none" w:sz="0" w:space="0" w:color="auto"/>
            <w:bottom w:val="none" w:sz="0" w:space="0" w:color="auto"/>
            <w:right w:val="none" w:sz="0" w:space="0" w:color="auto"/>
          </w:divBdr>
          <w:divsChild>
            <w:div w:id="92096807">
              <w:marLeft w:val="0"/>
              <w:marRight w:val="0"/>
              <w:marTop w:val="0"/>
              <w:marBottom w:val="0"/>
              <w:divBdr>
                <w:top w:val="none" w:sz="0" w:space="0" w:color="auto"/>
                <w:left w:val="none" w:sz="0" w:space="0" w:color="auto"/>
                <w:bottom w:val="none" w:sz="0" w:space="0" w:color="auto"/>
                <w:right w:val="none" w:sz="0" w:space="0" w:color="auto"/>
              </w:divBdr>
              <w:divsChild>
                <w:div w:id="15359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8882">
      <w:bodyDiv w:val="1"/>
      <w:marLeft w:val="0"/>
      <w:marRight w:val="0"/>
      <w:marTop w:val="0"/>
      <w:marBottom w:val="0"/>
      <w:divBdr>
        <w:top w:val="none" w:sz="0" w:space="0" w:color="auto"/>
        <w:left w:val="none" w:sz="0" w:space="0" w:color="auto"/>
        <w:bottom w:val="none" w:sz="0" w:space="0" w:color="auto"/>
        <w:right w:val="none" w:sz="0" w:space="0" w:color="auto"/>
      </w:divBdr>
    </w:div>
    <w:div w:id="1846479213">
      <w:bodyDiv w:val="1"/>
      <w:marLeft w:val="0"/>
      <w:marRight w:val="0"/>
      <w:marTop w:val="0"/>
      <w:marBottom w:val="0"/>
      <w:divBdr>
        <w:top w:val="none" w:sz="0" w:space="0" w:color="auto"/>
        <w:left w:val="none" w:sz="0" w:space="0" w:color="auto"/>
        <w:bottom w:val="none" w:sz="0" w:space="0" w:color="auto"/>
        <w:right w:val="none" w:sz="0" w:space="0" w:color="auto"/>
      </w:divBdr>
      <w:divsChild>
        <w:div w:id="1627347550">
          <w:marLeft w:val="0"/>
          <w:marRight w:val="0"/>
          <w:marTop w:val="0"/>
          <w:marBottom w:val="0"/>
          <w:divBdr>
            <w:top w:val="none" w:sz="0" w:space="0" w:color="auto"/>
            <w:left w:val="none" w:sz="0" w:space="0" w:color="auto"/>
            <w:bottom w:val="none" w:sz="0" w:space="0" w:color="auto"/>
            <w:right w:val="none" w:sz="0" w:space="0" w:color="auto"/>
          </w:divBdr>
          <w:divsChild>
            <w:div w:id="739137685">
              <w:marLeft w:val="0"/>
              <w:marRight w:val="0"/>
              <w:marTop w:val="0"/>
              <w:marBottom w:val="0"/>
              <w:divBdr>
                <w:top w:val="none" w:sz="0" w:space="0" w:color="auto"/>
                <w:left w:val="none" w:sz="0" w:space="0" w:color="auto"/>
                <w:bottom w:val="none" w:sz="0" w:space="0" w:color="auto"/>
                <w:right w:val="none" w:sz="0" w:space="0" w:color="auto"/>
              </w:divBdr>
              <w:divsChild>
                <w:div w:id="19189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5225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49">
          <w:marLeft w:val="0"/>
          <w:marRight w:val="0"/>
          <w:marTop w:val="0"/>
          <w:marBottom w:val="0"/>
          <w:divBdr>
            <w:top w:val="none" w:sz="0" w:space="0" w:color="auto"/>
            <w:left w:val="none" w:sz="0" w:space="0" w:color="auto"/>
            <w:bottom w:val="none" w:sz="0" w:space="0" w:color="auto"/>
            <w:right w:val="none" w:sz="0" w:space="0" w:color="auto"/>
          </w:divBdr>
          <w:divsChild>
            <w:div w:id="1843428730">
              <w:marLeft w:val="0"/>
              <w:marRight w:val="0"/>
              <w:marTop w:val="0"/>
              <w:marBottom w:val="0"/>
              <w:divBdr>
                <w:top w:val="none" w:sz="0" w:space="0" w:color="auto"/>
                <w:left w:val="none" w:sz="0" w:space="0" w:color="auto"/>
                <w:bottom w:val="none" w:sz="0" w:space="0" w:color="auto"/>
                <w:right w:val="none" w:sz="0" w:space="0" w:color="auto"/>
              </w:divBdr>
              <w:divsChild>
                <w:div w:id="12799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8107">
      <w:bodyDiv w:val="1"/>
      <w:marLeft w:val="0"/>
      <w:marRight w:val="0"/>
      <w:marTop w:val="0"/>
      <w:marBottom w:val="0"/>
      <w:divBdr>
        <w:top w:val="none" w:sz="0" w:space="0" w:color="auto"/>
        <w:left w:val="none" w:sz="0" w:space="0" w:color="auto"/>
        <w:bottom w:val="none" w:sz="0" w:space="0" w:color="auto"/>
        <w:right w:val="none" w:sz="0" w:space="0" w:color="auto"/>
      </w:divBdr>
    </w:div>
    <w:div w:id="2020547273">
      <w:bodyDiv w:val="1"/>
      <w:marLeft w:val="0"/>
      <w:marRight w:val="0"/>
      <w:marTop w:val="0"/>
      <w:marBottom w:val="0"/>
      <w:divBdr>
        <w:top w:val="none" w:sz="0" w:space="0" w:color="auto"/>
        <w:left w:val="none" w:sz="0" w:space="0" w:color="auto"/>
        <w:bottom w:val="none" w:sz="0" w:space="0" w:color="auto"/>
        <w:right w:val="none" w:sz="0" w:space="0" w:color="auto"/>
      </w:divBdr>
      <w:divsChild>
        <w:div w:id="1961641358">
          <w:marLeft w:val="0"/>
          <w:marRight w:val="0"/>
          <w:marTop w:val="0"/>
          <w:marBottom w:val="0"/>
          <w:divBdr>
            <w:top w:val="none" w:sz="0" w:space="0" w:color="auto"/>
            <w:left w:val="none" w:sz="0" w:space="0" w:color="auto"/>
            <w:bottom w:val="none" w:sz="0" w:space="0" w:color="auto"/>
            <w:right w:val="none" w:sz="0" w:space="0" w:color="auto"/>
          </w:divBdr>
          <w:divsChild>
            <w:div w:id="1823228729">
              <w:marLeft w:val="0"/>
              <w:marRight w:val="0"/>
              <w:marTop w:val="0"/>
              <w:marBottom w:val="0"/>
              <w:divBdr>
                <w:top w:val="none" w:sz="0" w:space="0" w:color="auto"/>
                <w:left w:val="none" w:sz="0" w:space="0" w:color="auto"/>
                <w:bottom w:val="none" w:sz="0" w:space="0" w:color="auto"/>
                <w:right w:val="none" w:sz="0" w:space="0" w:color="auto"/>
              </w:divBdr>
              <w:divsChild>
                <w:div w:id="1684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D9ECC-14F3-044D-B4E6-369F7E32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6</Pages>
  <Words>2446</Words>
  <Characters>15490</Characters>
  <Application>Microsoft Office Word</Application>
  <DocSecurity>0</DocSecurity>
  <Lines>198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Sahana Tharakan</dc:creator>
  <cp:keywords/>
  <dc:description/>
  <cp:lastModifiedBy>Sahana Tharakan</cp:lastModifiedBy>
  <cp:revision>105</cp:revision>
  <dcterms:created xsi:type="dcterms:W3CDTF">2019-11-26T17:03:00Z</dcterms:created>
  <dcterms:modified xsi:type="dcterms:W3CDTF">2019-12-01T06:46:00Z</dcterms:modified>
</cp:coreProperties>
</file>