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84D89A" w14:textId="4E67CFFE" w:rsidR="00B66594" w:rsidRPr="00B66594" w:rsidRDefault="00B66594" w:rsidP="00B66594">
      <w:pPr>
        <w:jc w:val="center"/>
        <w:rPr>
          <w:b/>
        </w:rPr>
      </w:pPr>
      <w:r w:rsidRPr="00B66594">
        <w:rPr>
          <w:b/>
        </w:rPr>
        <w:t xml:space="preserve">Measurement of TGIF1 </w:t>
      </w:r>
      <w:r>
        <w:rPr>
          <w:b/>
        </w:rPr>
        <w:t>e</w:t>
      </w:r>
      <w:r w:rsidRPr="00B66594">
        <w:rPr>
          <w:b/>
        </w:rPr>
        <w:t xml:space="preserve">xpression </w:t>
      </w:r>
      <w:r>
        <w:rPr>
          <w:b/>
        </w:rPr>
        <w:t>l</w:t>
      </w:r>
      <w:r w:rsidRPr="00B66594">
        <w:rPr>
          <w:b/>
        </w:rPr>
        <w:t xml:space="preserve">evels due to </w:t>
      </w:r>
      <w:r w:rsidRPr="00B66594">
        <w:rPr>
          <w:b/>
        </w:rPr>
        <w:t>TGF-β</w:t>
      </w:r>
      <w:r w:rsidRPr="00B66594">
        <w:rPr>
          <w:b/>
        </w:rPr>
        <w:t xml:space="preserve"> overexpression</w:t>
      </w:r>
    </w:p>
    <w:p w14:paraId="3B528CCE" w14:textId="0C5874C8" w:rsidR="00E61D81" w:rsidRDefault="009F55C3">
      <w:pPr>
        <w:rPr>
          <w:b/>
        </w:rPr>
      </w:pPr>
      <w:r>
        <w:rPr>
          <w:b/>
        </w:rPr>
        <w:t>I</w:t>
      </w:r>
      <w:r w:rsidR="00AC3C6B">
        <w:rPr>
          <w:b/>
        </w:rPr>
        <w:t>.</w:t>
      </w:r>
      <w:r>
        <w:rPr>
          <w:b/>
        </w:rPr>
        <w:t xml:space="preserve"> Introduction:</w:t>
      </w:r>
    </w:p>
    <w:p w14:paraId="68F09D37" w14:textId="16073F29" w:rsidR="00E61D81" w:rsidRDefault="00E61D81">
      <w:pPr>
        <w:rPr>
          <w:b/>
        </w:rPr>
      </w:pPr>
    </w:p>
    <w:p w14:paraId="12F433D7" w14:textId="041CA3D5" w:rsidR="00464EC5" w:rsidRDefault="006B0187" w:rsidP="00464EC5">
      <w:pPr>
        <w:rPr>
          <w:bCs/>
        </w:rPr>
      </w:pPr>
      <w:r w:rsidRPr="00AD29AC">
        <w:rPr>
          <w:b/>
          <w:noProof/>
        </w:rPr>
        <w:drawing>
          <wp:anchor distT="0" distB="0" distL="114300" distR="114300" simplePos="0" relativeHeight="251667456" behindDoc="1" locked="0" layoutInCell="1" allowOverlap="1" wp14:anchorId="74E9AA81" wp14:editId="1557F045">
            <wp:simplePos x="0" y="0"/>
            <wp:positionH relativeFrom="column">
              <wp:posOffset>4035565</wp:posOffset>
            </wp:positionH>
            <wp:positionV relativeFrom="paragraph">
              <wp:posOffset>106819</wp:posOffset>
            </wp:positionV>
            <wp:extent cx="2361565" cy="1851025"/>
            <wp:effectExtent l="0" t="0" r="635" b="3175"/>
            <wp:wrapTight wrapText="bothSides">
              <wp:wrapPolygon edited="0">
                <wp:start x="0" y="0"/>
                <wp:lineTo x="0" y="21489"/>
                <wp:lineTo x="21490" y="21489"/>
                <wp:lineTo x="21490" y="0"/>
                <wp:lineTo x="0" y="0"/>
              </wp:wrapPolygon>
            </wp:wrapTight>
            <wp:docPr id="12" name="Picture 3" descr="A screenshot of a computer&#10;&#10;Description automatically generated">
              <a:extLst xmlns:a="http://schemas.openxmlformats.org/drawingml/2006/main">
                <a:ext uri="{FF2B5EF4-FFF2-40B4-BE49-F238E27FC236}">
                  <a16:creationId xmlns:a16="http://schemas.microsoft.com/office/drawing/2014/main" id="{2D31BD87-77F6-FE40-B5EE-58D31CC615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D31BD87-77F6-FE40-B5EE-58D31CC6156D}"/>
                        </a:ext>
                      </a:extLst>
                    </pic:cNvPr>
                    <pic:cNvPicPr>
                      <a:picLocks noChangeAspect="1"/>
                    </pic:cNvPicPr>
                  </pic:nvPicPr>
                  <pic:blipFill rotWithShape="1">
                    <a:blip r:embed="rId7">
                      <a:extLst>
                        <a:ext uri="{28A0092B-C50C-407E-A947-70E740481C1C}">
                          <a14:useLocalDpi xmlns:a14="http://schemas.microsoft.com/office/drawing/2010/main" val="0"/>
                        </a:ext>
                      </a:extLst>
                    </a:blip>
                    <a:srcRect l="62934" t="34821" r="27663" b="53388"/>
                    <a:stretch/>
                  </pic:blipFill>
                  <pic:spPr>
                    <a:xfrm>
                      <a:off x="0" y="0"/>
                      <a:ext cx="2361565" cy="1851025"/>
                    </a:xfrm>
                    <a:prstGeom prst="rect">
                      <a:avLst/>
                    </a:prstGeom>
                  </pic:spPr>
                </pic:pic>
              </a:graphicData>
            </a:graphic>
            <wp14:sizeRelH relativeFrom="page">
              <wp14:pctWidth>0</wp14:pctWidth>
            </wp14:sizeRelH>
            <wp14:sizeRelV relativeFrom="page">
              <wp14:pctHeight>0</wp14:pctHeight>
            </wp14:sizeRelV>
          </wp:anchor>
        </w:drawing>
      </w:r>
      <w:r w:rsidR="009C45D4">
        <w:rPr>
          <w:bCs/>
        </w:rPr>
        <w:t xml:space="preserve">Pancreatic ductal </w:t>
      </w:r>
      <w:r w:rsidR="00805C2B">
        <w:rPr>
          <w:bCs/>
        </w:rPr>
        <w:t>adenocarcinoma (PDAC)</w:t>
      </w:r>
      <w:r w:rsidR="007A47F5">
        <w:rPr>
          <w:bCs/>
        </w:rPr>
        <w:t>, the most common type of pancreatic cancer,</w:t>
      </w:r>
      <w:r w:rsidR="00805C2B">
        <w:rPr>
          <w:bCs/>
        </w:rPr>
        <w:t xml:space="preserve"> is the fourth leading cause of cancer related death.</w:t>
      </w:r>
      <w:r w:rsidR="00B45D0F">
        <w:rPr>
          <w:bCs/>
        </w:rPr>
        <w:t xml:space="preserve"> </w:t>
      </w:r>
      <w:r w:rsidR="00CF4E69">
        <w:rPr>
          <w:bCs/>
        </w:rPr>
        <w:t>PDAC is identified by the formation of ducts in the cell lining of the pancreas.</w:t>
      </w:r>
      <w:r w:rsidR="00E551B9">
        <w:rPr>
          <w:bCs/>
        </w:rPr>
        <w:t xml:space="preserve"> By the time patients</w:t>
      </w:r>
      <w:r w:rsidR="00863AD0">
        <w:rPr>
          <w:bCs/>
        </w:rPr>
        <w:t xml:space="preserve"> are diagnosed, </w:t>
      </w:r>
      <w:r w:rsidR="004F1F18">
        <w:rPr>
          <w:bCs/>
        </w:rPr>
        <w:t>it has already metastasized</w:t>
      </w:r>
      <w:r w:rsidR="00E850B5">
        <w:rPr>
          <w:bCs/>
        </w:rPr>
        <w:t xml:space="preserve"> to</w:t>
      </w:r>
      <w:r w:rsidR="004F1F18">
        <w:rPr>
          <w:bCs/>
        </w:rPr>
        <w:t xml:space="preserve"> other parts of the body</w:t>
      </w:r>
      <w:r w:rsidR="005E5260">
        <w:rPr>
          <w:bCs/>
        </w:rPr>
        <w:t xml:space="preserve">. </w:t>
      </w:r>
      <w:r w:rsidR="00B62550">
        <w:rPr>
          <w:bCs/>
        </w:rPr>
        <w:t>It’s estimated that the 5-year survival rate for PDAC is only 9%.</w:t>
      </w:r>
    </w:p>
    <w:p w14:paraId="5FE176F8" w14:textId="65306BB5" w:rsidR="00464EC5" w:rsidRDefault="00464EC5" w:rsidP="00464EC5">
      <w:pPr>
        <w:rPr>
          <w:bCs/>
        </w:rPr>
      </w:pPr>
    </w:p>
    <w:p w14:paraId="3A28407B" w14:textId="236ED2D4" w:rsidR="00D8682B" w:rsidRDefault="008F52D9" w:rsidP="00464EC5">
      <w:pPr>
        <w:rPr>
          <w:bCs/>
        </w:rPr>
      </w:pPr>
      <w:r>
        <w:rPr>
          <w:noProof/>
        </w:rPr>
        <mc:AlternateContent>
          <mc:Choice Requires="wps">
            <w:drawing>
              <wp:anchor distT="0" distB="0" distL="114300" distR="114300" simplePos="0" relativeHeight="251669504" behindDoc="1" locked="0" layoutInCell="1" allowOverlap="1" wp14:anchorId="4CC5B537" wp14:editId="5798A711">
                <wp:simplePos x="0" y="0"/>
                <wp:positionH relativeFrom="column">
                  <wp:posOffset>4029710</wp:posOffset>
                </wp:positionH>
                <wp:positionV relativeFrom="paragraph">
                  <wp:posOffset>543885</wp:posOffset>
                </wp:positionV>
                <wp:extent cx="2793365" cy="648335"/>
                <wp:effectExtent l="0" t="0" r="635" b="0"/>
                <wp:wrapTight wrapText="bothSides">
                  <wp:wrapPolygon edited="0">
                    <wp:start x="0" y="0"/>
                    <wp:lineTo x="0" y="21156"/>
                    <wp:lineTo x="21507" y="21156"/>
                    <wp:lineTo x="21507" y="0"/>
                    <wp:lineTo x="0" y="0"/>
                  </wp:wrapPolygon>
                </wp:wrapTight>
                <wp:docPr id="14" name="Text Box 14"/>
                <wp:cNvGraphicFramePr/>
                <a:graphic xmlns:a="http://schemas.openxmlformats.org/drawingml/2006/main">
                  <a:graphicData uri="http://schemas.microsoft.com/office/word/2010/wordprocessingShape">
                    <wps:wsp>
                      <wps:cNvSpPr txBox="1"/>
                      <wps:spPr>
                        <a:xfrm>
                          <a:off x="0" y="0"/>
                          <a:ext cx="2793365" cy="648335"/>
                        </a:xfrm>
                        <a:prstGeom prst="rect">
                          <a:avLst/>
                        </a:prstGeom>
                        <a:solidFill>
                          <a:schemeClr val="lt1"/>
                        </a:solidFill>
                        <a:ln w="6350">
                          <a:noFill/>
                        </a:ln>
                      </wps:spPr>
                      <wps:txbx>
                        <w:txbxContent>
                          <w:p w14:paraId="5E88A606" w14:textId="62D5F4C9" w:rsidR="00712BF4" w:rsidRDefault="00712BF4">
                            <w:pPr>
                              <w:rPr>
                                <w:b/>
                                <w:bCs/>
                                <w:sz w:val="20"/>
                                <w:szCs w:val="20"/>
                              </w:rPr>
                            </w:pPr>
                            <w:r w:rsidRPr="002A2695">
                              <w:rPr>
                                <w:b/>
                                <w:bCs/>
                                <w:sz w:val="20"/>
                                <w:szCs w:val="20"/>
                              </w:rPr>
                              <w:t>Fig</w:t>
                            </w:r>
                            <w:r w:rsidR="00145AC9" w:rsidRPr="002A2695">
                              <w:rPr>
                                <w:b/>
                                <w:bCs/>
                                <w:sz w:val="20"/>
                                <w:szCs w:val="20"/>
                              </w:rPr>
                              <w:t xml:space="preserve"> 1. PDAC development</w:t>
                            </w:r>
                          </w:p>
                          <w:p w14:paraId="451CB7FC" w14:textId="164E2AB8" w:rsidR="002A2695" w:rsidRDefault="008863DA">
                            <w:pPr>
                              <w:rPr>
                                <w:sz w:val="20"/>
                                <w:szCs w:val="20"/>
                              </w:rPr>
                            </w:pPr>
                            <w:proofErr w:type="spellStart"/>
                            <w:r>
                              <w:rPr>
                                <w:sz w:val="20"/>
                                <w:szCs w:val="20"/>
                              </w:rPr>
                              <w:t>panINs</w:t>
                            </w:r>
                            <w:proofErr w:type="spellEnd"/>
                            <w:r>
                              <w:rPr>
                                <w:sz w:val="20"/>
                                <w:szCs w:val="20"/>
                              </w:rPr>
                              <w:t xml:space="preserve"> are indicated by the yellow arrow</w:t>
                            </w:r>
                            <w:r w:rsidR="008F52D9">
                              <w:rPr>
                                <w:sz w:val="20"/>
                                <w:szCs w:val="20"/>
                              </w:rPr>
                              <w:t>.</w:t>
                            </w:r>
                          </w:p>
                          <w:p w14:paraId="5565A621" w14:textId="2BE9A4A8" w:rsidR="008F52D9" w:rsidRPr="008863DA" w:rsidRDefault="008F52D9">
                            <w:pPr>
                              <w:rPr>
                                <w:sz w:val="20"/>
                                <w:szCs w:val="20"/>
                              </w:rPr>
                            </w:pPr>
                            <w:r>
                              <w:rPr>
                                <w:sz w:val="20"/>
                                <w:szCs w:val="20"/>
                              </w:rPr>
                              <w:t>Figure obtained from reference 1</w:t>
                            </w:r>
                          </w:p>
                          <w:p w14:paraId="3860361F" w14:textId="77777777" w:rsidR="00145AC9" w:rsidRPr="00712BF4" w:rsidRDefault="00145A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C5B537" id="_x0000_t202" coordsize="21600,21600" o:spt="202" path="m,l,21600r21600,l21600,xe">
                <v:stroke joinstyle="miter"/>
                <v:path gradientshapeok="t" o:connecttype="rect"/>
              </v:shapetype>
              <v:shape id="Text Box 14" o:spid="_x0000_s1026" type="#_x0000_t202" style="position:absolute;margin-left:317.3pt;margin-top:42.85pt;width:219.95pt;height:51.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IlaQAIAAHsEAAAOAAAAZHJzL2Uyb0RvYy54bWysVMtu2zAQvBfoPxC8N/I7iWE5cB24KBAk&#13;&#10;AZwiZ5qibAEUlyVpS+nXd0jZiZP2VPRCLXeHs2/Nbtpas4NyviKT8/5FjzNlJBWV2eb8x9PqyxVn&#13;&#10;PghTCE1G5fxFeX4z//xp1tipGtCOdKEcA4nx08bmfBeCnWaZlztVC39BVhkYS3K1CLi6bVY40YC9&#13;&#10;1tmg15tkDbnCOpLKe2hvOyOfJ/6yVDI8lKVXgemcI7aQTpfOTTyz+UxMt07YXSWPYYh/iKIWlYHT&#13;&#10;V6pbEQTbu+oPqrqSjjyV4UJSnVFZVlKlHJBNv/chm/VOWJVyQXG8fS2T/3+08v7w6FhVoHcjzoyo&#13;&#10;0aMn1Qb2lVoGFerTWD8FbG0BDC30wJ70HsqYdlu6On6REIMdlX55rW5kk1AOLq+Hw8mYMwnbZHQ1&#13;&#10;HI4jTfb22jofvimqWRRy7tC9VFRxuPOhg54g0ZknXRWrSut0iROjltqxg0CvdUgxgvwdShvWwPlw&#13;&#10;3EvEhuLzjlkbxBJz7XKKUmg37bEAGypekL+jboK8lasKQd4JHx6Fw8ggZaxBeMBRaoITOkqc7cj9&#13;&#10;+ps+4tFJWDlrMII59z/3winO9HeDHl/3R6M4s+kyGl8OcHHnls25xezrJSHzPhbOyiRGfNAnsXRU&#13;&#10;P2NbFtErTMJI+M55OInL0C0Gtk2qxSKBMKVWhDuztjJSx0rHFjy1z8LZY58COnxPp2EV0w/t6rDx&#13;&#10;paHFPlBZpV7GAndVPdYdE56m4biNcYXO7wn19s+Y/wYAAP//AwBQSwMEFAAGAAgAAAAhAI7pnUPl&#13;&#10;AAAAEAEAAA8AAABkcnMvZG93bnJldi54bWxMT8lugzAQvVfKP1gTqZeqMS1hEcFEVVept4Yu6s3B&#13;&#10;E0DBNsIO0L/v5NReRjN6b96Sb2fdsREH11oj4GYVAENTWdWaWsB7+XSdAnNeGiU7a1DADzrYFouL&#13;&#10;XGbKTuYNx52vGYkYl0kBjfd9xrmrGtTSrWyPhrCDHbT0dA41V4OcSFx3/DYIYq5la8ihkT3eN1gd&#13;&#10;dyct4Puq/np18/PHFEZh//gylsmnKoW4XM4PGxp3G2AeZ//3AecOlB8KCra3J6Mc6wTE4TomqoA0&#13;&#10;SoCdCUGyjoDtaUuTFHiR8/9Fil8AAAD//wMAUEsBAi0AFAAGAAgAAAAhALaDOJL+AAAA4QEAABMA&#13;&#10;AAAAAAAAAAAAAAAAAAAAAFtDb250ZW50X1R5cGVzXS54bWxQSwECLQAUAAYACAAAACEAOP0h/9YA&#13;&#10;AACUAQAACwAAAAAAAAAAAAAAAAAvAQAAX3JlbHMvLnJlbHNQSwECLQAUAAYACAAAACEAiHyJWkAC&#13;&#10;AAB7BAAADgAAAAAAAAAAAAAAAAAuAgAAZHJzL2Uyb0RvYy54bWxQSwECLQAUAAYACAAAACEAjumd&#13;&#10;Q+UAAAAQAQAADwAAAAAAAAAAAAAAAACaBAAAZHJzL2Rvd25yZXYueG1sUEsFBgAAAAAEAAQA8wAA&#13;&#10;AKwFAAAAAA==&#13;&#10;" fillcolor="white [3201]" stroked="f" strokeweight=".5pt">
                <v:textbox>
                  <w:txbxContent>
                    <w:p w14:paraId="5E88A606" w14:textId="62D5F4C9" w:rsidR="00712BF4" w:rsidRDefault="00712BF4">
                      <w:pPr>
                        <w:rPr>
                          <w:b/>
                          <w:bCs/>
                          <w:sz w:val="20"/>
                          <w:szCs w:val="20"/>
                        </w:rPr>
                      </w:pPr>
                      <w:r w:rsidRPr="002A2695">
                        <w:rPr>
                          <w:b/>
                          <w:bCs/>
                          <w:sz w:val="20"/>
                          <w:szCs w:val="20"/>
                        </w:rPr>
                        <w:t>Fig</w:t>
                      </w:r>
                      <w:r w:rsidR="00145AC9" w:rsidRPr="002A2695">
                        <w:rPr>
                          <w:b/>
                          <w:bCs/>
                          <w:sz w:val="20"/>
                          <w:szCs w:val="20"/>
                        </w:rPr>
                        <w:t xml:space="preserve"> 1. PDAC development</w:t>
                      </w:r>
                    </w:p>
                    <w:p w14:paraId="451CB7FC" w14:textId="164E2AB8" w:rsidR="002A2695" w:rsidRDefault="008863DA">
                      <w:pPr>
                        <w:rPr>
                          <w:sz w:val="20"/>
                          <w:szCs w:val="20"/>
                        </w:rPr>
                      </w:pPr>
                      <w:proofErr w:type="spellStart"/>
                      <w:r>
                        <w:rPr>
                          <w:sz w:val="20"/>
                          <w:szCs w:val="20"/>
                        </w:rPr>
                        <w:t>panINs</w:t>
                      </w:r>
                      <w:proofErr w:type="spellEnd"/>
                      <w:r>
                        <w:rPr>
                          <w:sz w:val="20"/>
                          <w:szCs w:val="20"/>
                        </w:rPr>
                        <w:t xml:space="preserve"> are indicated by the yellow arrow</w:t>
                      </w:r>
                      <w:r w:rsidR="008F52D9">
                        <w:rPr>
                          <w:sz w:val="20"/>
                          <w:szCs w:val="20"/>
                        </w:rPr>
                        <w:t>.</w:t>
                      </w:r>
                    </w:p>
                    <w:p w14:paraId="5565A621" w14:textId="2BE9A4A8" w:rsidR="008F52D9" w:rsidRPr="008863DA" w:rsidRDefault="008F52D9">
                      <w:pPr>
                        <w:rPr>
                          <w:sz w:val="20"/>
                          <w:szCs w:val="20"/>
                        </w:rPr>
                      </w:pPr>
                      <w:r>
                        <w:rPr>
                          <w:sz w:val="20"/>
                          <w:szCs w:val="20"/>
                        </w:rPr>
                        <w:t>Figure obtained from reference 1</w:t>
                      </w:r>
                    </w:p>
                    <w:p w14:paraId="3860361F" w14:textId="77777777" w:rsidR="00145AC9" w:rsidRPr="00712BF4" w:rsidRDefault="00145AC9"/>
                  </w:txbxContent>
                </v:textbox>
                <w10:wrap type="tight"/>
              </v:shape>
            </w:pict>
          </mc:Fallback>
        </mc:AlternateContent>
      </w:r>
      <w:r w:rsidR="00A776FE" w:rsidRPr="006B0187">
        <w:rPr>
          <w:noProof/>
        </w:rPr>
        <w:drawing>
          <wp:anchor distT="0" distB="0" distL="114300" distR="114300" simplePos="0" relativeHeight="251668480" behindDoc="1" locked="0" layoutInCell="1" allowOverlap="1" wp14:anchorId="298CE6FC" wp14:editId="26A57B78">
            <wp:simplePos x="0" y="0"/>
            <wp:positionH relativeFrom="column">
              <wp:posOffset>5487266</wp:posOffset>
            </wp:positionH>
            <wp:positionV relativeFrom="paragraph">
              <wp:posOffset>1210772</wp:posOffset>
            </wp:positionV>
            <wp:extent cx="754380" cy="1776095"/>
            <wp:effectExtent l="0" t="0" r="0" b="1905"/>
            <wp:wrapTight wrapText="bothSides">
              <wp:wrapPolygon edited="0">
                <wp:start x="0" y="0"/>
                <wp:lineTo x="0" y="21469"/>
                <wp:lineTo x="21091" y="21469"/>
                <wp:lineTo x="21091" y="0"/>
                <wp:lineTo x="0" y="0"/>
              </wp:wrapPolygon>
            </wp:wrapTight>
            <wp:docPr id="16" name="Picture 15" descr="A screenshot of a computer&#10;&#10;Description automatically generated">
              <a:extLst xmlns:a="http://schemas.openxmlformats.org/drawingml/2006/main">
                <a:ext uri="{FF2B5EF4-FFF2-40B4-BE49-F238E27FC236}">
                  <a16:creationId xmlns:a16="http://schemas.microsoft.com/office/drawing/2014/main" id="{01D9AB62-1450-DF43-873C-674091560B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screenshot of a computer&#10;&#10;Description automatically generated">
                      <a:extLst>
                        <a:ext uri="{FF2B5EF4-FFF2-40B4-BE49-F238E27FC236}">
                          <a16:creationId xmlns:a16="http://schemas.microsoft.com/office/drawing/2014/main" id="{01D9AB62-1450-DF43-873C-674091560B1F}"/>
                        </a:ext>
                      </a:extLst>
                    </pic:cNvPr>
                    <pic:cNvPicPr>
                      <a:picLocks noChangeAspect="1"/>
                    </pic:cNvPicPr>
                  </pic:nvPicPr>
                  <pic:blipFill rotWithShape="1">
                    <a:blip r:embed="rId8">
                      <a:extLst>
                        <a:ext uri="{28A0092B-C50C-407E-A947-70E740481C1C}">
                          <a14:useLocalDpi xmlns:a14="http://schemas.microsoft.com/office/drawing/2010/main" val="0"/>
                        </a:ext>
                      </a:extLst>
                    </a:blip>
                    <a:srcRect l="67232" t="34821" r="28066" b="47477"/>
                    <a:stretch/>
                  </pic:blipFill>
                  <pic:spPr>
                    <a:xfrm>
                      <a:off x="0" y="0"/>
                      <a:ext cx="754380" cy="1776095"/>
                    </a:xfrm>
                    <a:prstGeom prst="rect">
                      <a:avLst/>
                    </a:prstGeom>
                  </pic:spPr>
                </pic:pic>
              </a:graphicData>
            </a:graphic>
            <wp14:sizeRelH relativeFrom="page">
              <wp14:pctWidth>0</wp14:pctWidth>
            </wp14:sizeRelH>
            <wp14:sizeRelV relativeFrom="page">
              <wp14:pctHeight>0</wp14:pctHeight>
            </wp14:sizeRelV>
          </wp:anchor>
        </w:drawing>
      </w:r>
      <w:proofErr w:type="spellStart"/>
      <w:r w:rsidR="002F76E5">
        <w:rPr>
          <w:bCs/>
        </w:rPr>
        <w:t>Kras</w:t>
      </w:r>
      <w:proofErr w:type="spellEnd"/>
      <w:r w:rsidR="002F76E5">
        <w:rPr>
          <w:bCs/>
        </w:rPr>
        <w:t xml:space="preserve"> is an oncogene that under certain circumstances has the ability to cause cancer. </w:t>
      </w:r>
      <w:proofErr w:type="spellStart"/>
      <w:r w:rsidR="002F76E5">
        <w:rPr>
          <w:bCs/>
        </w:rPr>
        <w:t>Hingorani</w:t>
      </w:r>
      <w:proofErr w:type="spellEnd"/>
      <w:r w:rsidR="002F76E5">
        <w:rPr>
          <w:bCs/>
        </w:rPr>
        <w:t xml:space="preserve"> et al (</w:t>
      </w:r>
      <w:r w:rsidR="0081289D">
        <w:rPr>
          <w:bCs/>
        </w:rPr>
        <w:t>2003)</w:t>
      </w:r>
      <w:r w:rsidR="004372F5">
        <w:rPr>
          <w:bCs/>
          <w:vertAlign w:val="superscript"/>
        </w:rPr>
        <w:t>2</w:t>
      </w:r>
      <w:r w:rsidR="00033EB5">
        <w:rPr>
          <w:bCs/>
        </w:rPr>
        <w:t xml:space="preserve"> sought to understand if </w:t>
      </w:r>
      <w:proofErr w:type="spellStart"/>
      <w:r w:rsidR="00033EB5">
        <w:rPr>
          <w:bCs/>
        </w:rPr>
        <w:t>Kras</w:t>
      </w:r>
      <w:proofErr w:type="spellEnd"/>
      <w:r w:rsidR="00033EB5">
        <w:rPr>
          <w:bCs/>
        </w:rPr>
        <w:t xml:space="preserve"> played a role in PDAC</w:t>
      </w:r>
      <w:r w:rsidR="001A0FB8">
        <w:rPr>
          <w:bCs/>
        </w:rPr>
        <w:t>. P</w:t>
      </w:r>
      <w:r w:rsidR="00033EB5">
        <w:rPr>
          <w:bCs/>
        </w:rPr>
        <w:t>revious research has shown that</w:t>
      </w:r>
      <w:r w:rsidR="00F35BFE">
        <w:rPr>
          <w:bCs/>
        </w:rPr>
        <w:t xml:space="preserve"> mutations in </w:t>
      </w:r>
      <w:r w:rsidR="00895084">
        <w:rPr>
          <w:bCs/>
        </w:rPr>
        <w:t xml:space="preserve">amino acid glycine 12 to aspartic acid in the </w:t>
      </w:r>
      <w:proofErr w:type="spellStart"/>
      <w:r w:rsidR="00895084">
        <w:rPr>
          <w:bCs/>
        </w:rPr>
        <w:t>Kras</w:t>
      </w:r>
      <w:proofErr w:type="spellEnd"/>
      <w:r w:rsidR="00895084">
        <w:rPr>
          <w:bCs/>
        </w:rPr>
        <w:t xml:space="preserve"> oncogene is common among </w:t>
      </w:r>
      <w:r w:rsidR="006F0ED0">
        <w:rPr>
          <w:bCs/>
        </w:rPr>
        <w:t xml:space="preserve">pancreatic </w:t>
      </w:r>
      <w:r w:rsidR="002020F9">
        <w:rPr>
          <w:bCs/>
        </w:rPr>
        <w:t>carcinomas</w:t>
      </w:r>
      <w:r w:rsidR="00D7091C">
        <w:rPr>
          <w:bCs/>
        </w:rPr>
        <w:t>, a ty</w:t>
      </w:r>
      <w:r w:rsidR="00FE22B8">
        <w:rPr>
          <w:bCs/>
        </w:rPr>
        <w:t xml:space="preserve">pe of cancer </w:t>
      </w:r>
      <w:r w:rsidR="00912837">
        <w:rPr>
          <w:bCs/>
        </w:rPr>
        <w:t>that starts in the lining of organs</w:t>
      </w:r>
      <w:r w:rsidR="00FE22B8">
        <w:rPr>
          <w:bCs/>
        </w:rPr>
        <w:t xml:space="preserve">. </w:t>
      </w:r>
      <w:r w:rsidR="00F5750F">
        <w:rPr>
          <w:bCs/>
        </w:rPr>
        <w:t xml:space="preserve">In this study they </w:t>
      </w:r>
      <w:r w:rsidR="00724C7F">
        <w:rPr>
          <w:bCs/>
        </w:rPr>
        <w:t>identified</w:t>
      </w:r>
      <w:r w:rsidR="00F5750F">
        <w:rPr>
          <w:bCs/>
        </w:rPr>
        <w:t xml:space="preserve"> that mice with </w:t>
      </w:r>
      <w:proofErr w:type="spellStart"/>
      <w:r w:rsidR="00724C7F">
        <w:rPr>
          <w:bCs/>
        </w:rPr>
        <w:t>Kras</w:t>
      </w:r>
      <w:proofErr w:type="spellEnd"/>
      <w:r w:rsidR="00724C7F">
        <w:rPr>
          <w:bCs/>
        </w:rPr>
        <w:t xml:space="preserve"> specific expression in the pancreas</w:t>
      </w:r>
      <w:r w:rsidR="00D7091C">
        <w:rPr>
          <w:bCs/>
        </w:rPr>
        <w:t xml:space="preserve"> </w:t>
      </w:r>
      <w:r w:rsidR="00990012">
        <w:rPr>
          <w:bCs/>
        </w:rPr>
        <w:t xml:space="preserve">developed </w:t>
      </w:r>
      <w:r w:rsidR="00912837">
        <w:rPr>
          <w:bCs/>
        </w:rPr>
        <w:t>pancreatic</w:t>
      </w:r>
      <w:r w:rsidR="00D7527C">
        <w:rPr>
          <w:bCs/>
        </w:rPr>
        <w:t xml:space="preserve"> intraepithelial neoplasia (</w:t>
      </w:r>
      <w:proofErr w:type="spellStart"/>
      <w:r w:rsidR="00D7527C">
        <w:rPr>
          <w:bCs/>
        </w:rPr>
        <w:t>panINs</w:t>
      </w:r>
      <w:proofErr w:type="spellEnd"/>
      <w:r w:rsidR="00D7527C">
        <w:rPr>
          <w:bCs/>
        </w:rPr>
        <w:t xml:space="preserve">), </w:t>
      </w:r>
      <w:r w:rsidR="00E64B41">
        <w:rPr>
          <w:bCs/>
        </w:rPr>
        <w:t xml:space="preserve">a common </w:t>
      </w:r>
      <w:r w:rsidR="00E637D7">
        <w:rPr>
          <w:bCs/>
        </w:rPr>
        <w:t>characteristic</w:t>
      </w:r>
      <w:r w:rsidR="00E64B41">
        <w:rPr>
          <w:bCs/>
        </w:rPr>
        <w:t xml:space="preserve"> </w:t>
      </w:r>
      <w:r w:rsidR="00E637D7">
        <w:rPr>
          <w:bCs/>
        </w:rPr>
        <w:t>of</w:t>
      </w:r>
      <w:r w:rsidR="00E64B41">
        <w:rPr>
          <w:bCs/>
        </w:rPr>
        <w:t xml:space="preserve"> PDAC</w:t>
      </w:r>
      <w:r>
        <w:rPr>
          <w:bCs/>
        </w:rPr>
        <w:t xml:space="preserve"> (Fig 1)</w:t>
      </w:r>
      <w:r w:rsidR="00B22318">
        <w:rPr>
          <w:bCs/>
        </w:rPr>
        <w:t>.</w:t>
      </w:r>
    </w:p>
    <w:p w14:paraId="5B20B448" w14:textId="2C50A8A5" w:rsidR="00DB52D2" w:rsidRDefault="00DB52D2" w:rsidP="00464EC5">
      <w:pPr>
        <w:rPr>
          <w:bCs/>
        </w:rPr>
      </w:pPr>
    </w:p>
    <w:p w14:paraId="453D373D" w14:textId="5C283640" w:rsidR="00102105" w:rsidRDefault="00A776FE" w:rsidP="00464EC5">
      <w:pPr>
        <w:rPr>
          <w:bCs/>
        </w:rPr>
      </w:pPr>
      <w:r>
        <w:rPr>
          <w:bCs/>
          <w:noProof/>
        </w:rPr>
        <mc:AlternateContent>
          <mc:Choice Requires="wps">
            <w:drawing>
              <wp:anchor distT="0" distB="0" distL="114300" distR="114300" simplePos="0" relativeHeight="251670528" behindDoc="1" locked="0" layoutInCell="1" allowOverlap="1" wp14:anchorId="7721F105" wp14:editId="1A92A342">
                <wp:simplePos x="0" y="0"/>
                <wp:positionH relativeFrom="column">
                  <wp:posOffset>4848860</wp:posOffset>
                </wp:positionH>
                <wp:positionV relativeFrom="paragraph">
                  <wp:posOffset>1297305</wp:posOffset>
                </wp:positionV>
                <wp:extent cx="1906270" cy="563245"/>
                <wp:effectExtent l="0" t="0" r="0" b="0"/>
                <wp:wrapTight wrapText="bothSides">
                  <wp:wrapPolygon edited="0">
                    <wp:start x="0" y="0"/>
                    <wp:lineTo x="0" y="20943"/>
                    <wp:lineTo x="21442" y="20943"/>
                    <wp:lineTo x="21442" y="0"/>
                    <wp:lineTo x="0" y="0"/>
                  </wp:wrapPolygon>
                </wp:wrapTight>
                <wp:docPr id="15" name="Text Box 15"/>
                <wp:cNvGraphicFramePr/>
                <a:graphic xmlns:a="http://schemas.openxmlformats.org/drawingml/2006/main">
                  <a:graphicData uri="http://schemas.microsoft.com/office/word/2010/wordprocessingShape">
                    <wps:wsp>
                      <wps:cNvSpPr txBox="1"/>
                      <wps:spPr>
                        <a:xfrm>
                          <a:off x="0" y="0"/>
                          <a:ext cx="1906270" cy="563245"/>
                        </a:xfrm>
                        <a:prstGeom prst="rect">
                          <a:avLst/>
                        </a:prstGeom>
                        <a:solidFill>
                          <a:schemeClr val="lt1"/>
                        </a:solidFill>
                        <a:ln w="6350">
                          <a:noFill/>
                        </a:ln>
                      </wps:spPr>
                      <wps:txbx>
                        <w:txbxContent>
                          <w:p w14:paraId="08CF5CA5" w14:textId="3971E289" w:rsidR="008D78A1" w:rsidRDefault="008D78A1">
                            <w:pPr>
                              <w:rPr>
                                <w:b/>
                                <w:bCs/>
                                <w:sz w:val="20"/>
                                <w:szCs w:val="20"/>
                              </w:rPr>
                            </w:pPr>
                            <w:r>
                              <w:rPr>
                                <w:b/>
                                <w:bCs/>
                                <w:sz w:val="20"/>
                                <w:szCs w:val="20"/>
                              </w:rPr>
                              <w:t xml:space="preserve">Fig 2. Activation of </w:t>
                            </w:r>
                            <w:r w:rsidR="00A63DA5">
                              <w:rPr>
                                <w:b/>
                                <w:bCs/>
                                <w:sz w:val="20"/>
                                <w:szCs w:val="20"/>
                              </w:rPr>
                              <w:t>PDAC</w:t>
                            </w:r>
                          </w:p>
                          <w:p w14:paraId="610C6F9E" w14:textId="128A6F39" w:rsidR="005F3EAA" w:rsidRPr="002C3C04" w:rsidRDefault="005F3EAA">
                            <w:pPr>
                              <w:rPr>
                                <w:sz w:val="20"/>
                                <w:szCs w:val="20"/>
                              </w:rPr>
                            </w:pPr>
                            <w:r w:rsidRPr="002C3C04">
                              <w:rPr>
                                <w:sz w:val="20"/>
                                <w:szCs w:val="20"/>
                              </w:rPr>
                              <w:t>Figure obtained from ref</w:t>
                            </w:r>
                            <w:r w:rsidR="004372F5" w:rsidRPr="002C3C04">
                              <w:rPr>
                                <w:sz w:val="20"/>
                                <w:szCs w:val="20"/>
                              </w:rPr>
                              <w:t>erence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1F105" id="Text Box 15" o:spid="_x0000_s1027" type="#_x0000_t202" style="position:absolute;margin-left:381.8pt;margin-top:102.15pt;width:150.1pt;height:44.3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BTOyRAIAAIIEAAAOAAAAZHJzL2Uyb0RvYy54bWysVN9P2zAQfp+0/8Hy+0ha2jIiUtSBmCYh&#13;&#10;QCoTz67jkEiOz7PdJuyv32enhY7tadqLc74734/vu8vF5dBptlPOt2RKPjnJOVNGUtWa55J/f7z5&#13;&#10;9JkzH4SphCajSv6iPL9cfvxw0dtCTakhXSnHEMT4orclb0KwRZZ52ahO+BOyysBYk+tEwNU9Z5UT&#13;&#10;PaJ3Opvm+SLryVXWkVTeQ3s9Gvkyxa9rJcN9XXsVmC45agvpdOncxDNbXoji2QnbtHJfhviHKjrR&#13;&#10;GiR9DXUtgmBb1/4RqmulI091OJHUZVTXrVSpB3Qzyd91s26EVakXgOPtK0z+/4WVd7sHx9oK3M05&#13;&#10;M6IDR49qCOwLDQwq4NNbX8BtbeEYBujhe9B7KGPbQ+26+EVDDHYg/fKKbowm46PzfDE9g0nCNl+c&#13;&#10;TmcpfPb22jofvirqWBRK7sBeAlXsbn1AJXA9uMRknnRb3bRap0ucGHWlHdsJcK1DqhEvfvPShvUl&#13;&#10;X5zO8xTYUHw+RtYGCWKvY09RCsNmGLE59Luh6gUwOBoHyVt506LWW+HDg3CYHLSHbQj3OGpNyEV7&#13;&#10;ibOG3M+/6aM/CIWVsx6TWHL/Yyuc4kx/M6D6fDKbxdFNl9n8bIqLO7Zsji1m210RAJhg76xMYvQP&#13;&#10;+iDWjronLM0qZoVJGIncJQ8H8SqM+4Glk2q1Sk4YVivCrVlbGUNHwCMTj8OTcHZPVwDRd3SYWVG8&#13;&#10;Y230jS8NrbaB6jZRGnEeUd3Dj0FPTO+XMm7S8T15vf06lr8AAAD//wMAUEsDBBQABgAIAAAAIQBV&#13;&#10;p5yN5wAAABEBAAAPAAAAZHJzL2Rvd25yZXYueG1sTI9NT8MwDIbvSPyHyEhc0JawQAdd0wnxMSRu&#13;&#10;W/kQt6wJbUXjVE3Wln+Pd4KLJduvX79Ptp5cywbbh8ajgsu5AGax9KbBSsFr8TS7ARaiRqNbj1bB&#13;&#10;jw2wzk9PMp0aP+LWDrtYMTLBkGoFdYxdynkoa+t0mPvOIu2+fO90pLavuOn1SOau5QshEu50g/Sh&#13;&#10;1p29r235vTs4BZ8X1cdLmDZvo7yW3ePzUCzfTaHU+dn0sKJytwIW7RT/LuDIQPkhp2B7f0ATWKtg&#13;&#10;mciEpAoW4koCOypEIglpT6NbKYDnGf9Pkv8CAAD//wMAUEsBAi0AFAAGAAgAAAAhALaDOJL+AAAA&#13;&#10;4QEAABMAAAAAAAAAAAAAAAAAAAAAAFtDb250ZW50X1R5cGVzXS54bWxQSwECLQAUAAYACAAAACEA&#13;&#10;OP0h/9YAAACUAQAACwAAAAAAAAAAAAAAAAAvAQAAX3JlbHMvLnJlbHNQSwECLQAUAAYACAAAACEA&#13;&#10;lwUzskQCAACCBAAADgAAAAAAAAAAAAAAAAAuAgAAZHJzL2Uyb0RvYy54bWxQSwECLQAUAAYACAAA&#13;&#10;ACEAVaecjecAAAARAQAADwAAAAAAAAAAAAAAAACeBAAAZHJzL2Rvd25yZXYueG1sUEsFBgAAAAAE&#13;&#10;AAQA8wAAALIFAAAAAA==&#13;&#10;" fillcolor="white [3201]" stroked="f" strokeweight=".5pt">
                <v:textbox>
                  <w:txbxContent>
                    <w:p w14:paraId="08CF5CA5" w14:textId="3971E289" w:rsidR="008D78A1" w:rsidRDefault="008D78A1">
                      <w:pPr>
                        <w:rPr>
                          <w:b/>
                          <w:bCs/>
                          <w:sz w:val="20"/>
                          <w:szCs w:val="20"/>
                        </w:rPr>
                      </w:pPr>
                      <w:r>
                        <w:rPr>
                          <w:b/>
                          <w:bCs/>
                          <w:sz w:val="20"/>
                          <w:szCs w:val="20"/>
                        </w:rPr>
                        <w:t xml:space="preserve">Fig 2. Activation of </w:t>
                      </w:r>
                      <w:r w:rsidR="00A63DA5">
                        <w:rPr>
                          <w:b/>
                          <w:bCs/>
                          <w:sz w:val="20"/>
                          <w:szCs w:val="20"/>
                        </w:rPr>
                        <w:t>PDAC</w:t>
                      </w:r>
                    </w:p>
                    <w:p w14:paraId="610C6F9E" w14:textId="128A6F39" w:rsidR="005F3EAA" w:rsidRPr="002C3C04" w:rsidRDefault="005F3EAA">
                      <w:pPr>
                        <w:rPr>
                          <w:sz w:val="20"/>
                          <w:szCs w:val="20"/>
                        </w:rPr>
                      </w:pPr>
                      <w:r w:rsidRPr="002C3C04">
                        <w:rPr>
                          <w:sz w:val="20"/>
                          <w:szCs w:val="20"/>
                        </w:rPr>
                        <w:t>Figure obtained from ref</w:t>
                      </w:r>
                      <w:r w:rsidR="004372F5" w:rsidRPr="002C3C04">
                        <w:rPr>
                          <w:sz w:val="20"/>
                          <w:szCs w:val="20"/>
                        </w:rPr>
                        <w:t>erence 1</w:t>
                      </w:r>
                    </w:p>
                  </w:txbxContent>
                </v:textbox>
                <w10:wrap type="tight"/>
              </v:shape>
            </w:pict>
          </mc:Fallback>
        </mc:AlternateContent>
      </w:r>
      <w:r w:rsidR="00FB52AC">
        <w:rPr>
          <w:bCs/>
        </w:rPr>
        <w:t xml:space="preserve">In another </w:t>
      </w:r>
      <w:r w:rsidR="005B692B">
        <w:rPr>
          <w:bCs/>
        </w:rPr>
        <w:t xml:space="preserve">study, </w:t>
      </w:r>
      <w:proofErr w:type="spellStart"/>
      <w:r w:rsidR="005B692B">
        <w:rPr>
          <w:bCs/>
        </w:rPr>
        <w:t>Parash</w:t>
      </w:r>
      <w:proofErr w:type="spellEnd"/>
      <w:r w:rsidR="005B692B">
        <w:rPr>
          <w:bCs/>
        </w:rPr>
        <w:t xml:space="preserve"> et al (2019)</w:t>
      </w:r>
      <w:r w:rsidR="00B163C7">
        <w:rPr>
          <w:bCs/>
          <w:vertAlign w:val="superscript"/>
        </w:rPr>
        <w:t>2</w:t>
      </w:r>
      <w:r w:rsidR="005B692B">
        <w:rPr>
          <w:bCs/>
        </w:rPr>
        <w:t xml:space="preserve"> sought to understand the role of </w:t>
      </w:r>
      <w:r w:rsidR="00B30103">
        <w:rPr>
          <w:bCs/>
        </w:rPr>
        <w:t>MAPK</w:t>
      </w:r>
      <w:r w:rsidR="00F82577">
        <w:rPr>
          <w:bCs/>
        </w:rPr>
        <w:t xml:space="preserve"> mediated </w:t>
      </w:r>
      <w:r w:rsidR="00B71479">
        <w:rPr>
          <w:bCs/>
        </w:rPr>
        <w:t>TGIF</w:t>
      </w:r>
      <w:r w:rsidR="003A6B0E">
        <w:rPr>
          <w:bCs/>
        </w:rPr>
        <w:t>1</w:t>
      </w:r>
      <w:r w:rsidR="00F82577">
        <w:rPr>
          <w:bCs/>
        </w:rPr>
        <w:t xml:space="preserve"> </w:t>
      </w:r>
      <w:r w:rsidR="009A3831">
        <w:rPr>
          <w:bCs/>
        </w:rPr>
        <w:t>Phosphorylation</w:t>
      </w:r>
      <w:r w:rsidR="00B71479">
        <w:rPr>
          <w:bCs/>
        </w:rPr>
        <w:t xml:space="preserve"> in </w:t>
      </w:r>
      <w:proofErr w:type="spellStart"/>
      <w:r w:rsidR="00B71479">
        <w:rPr>
          <w:bCs/>
        </w:rPr>
        <w:t>Kras</w:t>
      </w:r>
      <w:proofErr w:type="spellEnd"/>
      <w:r w:rsidR="00B71479">
        <w:rPr>
          <w:bCs/>
        </w:rPr>
        <w:t xml:space="preserve"> driven PDAC</w:t>
      </w:r>
      <w:r w:rsidR="00DB508C">
        <w:rPr>
          <w:bCs/>
        </w:rPr>
        <w:t xml:space="preserve"> (Fig 2)</w:t>
      </w:r>
      <w:r w:rsidR="00B71479">
        <w:rPr>
          <w:bCs/>
        </w:rPr>
        <w:t>.</w:t>
      </w:r>
      <w:r w:rsidR="003812E5">
        <w:rPr>
          <w:bCs/>
        </w:rPr>
        <w:t xml:space="preserve"> This</w:t>
      </w:r>
      <w:r w:rsidR="004B5B43">
        <w:rPr>
          <w:bCs/>
        </w:rPr>
        <w:t xml:space="preserve"> experiment </w:t>
      </w:r>
      <w:r w:rsidR="00542C12">
        <w:rPr>
          <w:bCs/>
        </w:rPr>
        <w:t xml:space="preserve">used </w:t>
      </w:r>
      <w:r w:rsidR="005005D7">
        <w:rPr>
          <w:bCs/>
        </w:rPr>
        <w:t>immunohistochemistry</w:t>
      </w:r>
      <w:r w:rsidR="00542C12">
        <w:rPr>
          <w:bCs/>
        </w:rPr>
        <w:t xml:space="preserve"> to </w:t>
      </w:r>
      <w:r w:rsidR="0027398C">
        <w:rPr>
          <w:bCs/>
        </w:rPr>
        <w:t xml:space="preserve">see the specific localization </w:t>
      </w:r>
      <w:r w:rsidR="00A44936">
        <w:rPr>
          <w:bCs/>
        </w:rPr>
        <w:t>of a protein</w:t>
      </w:r>
      <w:r w:rsidR="008C08D4">
        <w:rPr>
          <w:bCs/>
        </w:rPr>
        <w:t xml:space="preserve"> </w:t>
      </w:r>
      <w:r w:rsidR="007A110A">
        <w:rPr>
          <w:bCs/>
        </w:rPr>
        <w:t xml:space="preserve">within a tissue sample. </w:t>
      </w:r>
      <w:r w:rsidR="00221D13">
        <w:rPr>
          <w:bCs/>
        </w:rPr>
        <w:t>T</w:t>
      </w:r>
      <w:r w:rsidR="0054078A">
        <w:rPr>
          <w:bCs/>
        </w:rPr>
        <w:t>hey found that when TGIF1</w:t>
      </w:r>
      <w:r w:rsidR="00EC2D4A">
        <w:rPr>
          <w:bCs/>
        </w:rPr>
        <w:t xml:space="preserve"> (a transcription factor that regulates the activity of cert</w:t>
      </w:r>
      <w:r w:rsidR="00241046">
        <w:rPr>
          <w:bCs/>
        </w:rPr>
        <w:t>ain</w:t>
      </w:r>
      <w:r w:rsidR="00AA1990">
        <w:rPr>
          <w:bCs/>
        </w:rPr>
        <w:t xml:space="preserve"> genes</w:t>
      </w:r>
      <w:r w:rsidR="00241046">
        <w:rPr>
          <w:bCs/>
        </w:rPr>
        <w:t>)</w:t>
      </w:r>
      <w:r w:rsidR="0054078A">
        <w:rPr>
          <w:bCs/>
        </w:rPr>
        <w:t xml:space="preserve"> is deleted and </w:t>
      </w:r>
      <w:proofErr w:type="spellStart"/>
      <w:r w:rsidR="0054078A">
        <w:rPr>
          <w:bCs/>
        </w:rPr>
        <w:t>Kras</w:t>
      </w:r>
      <w:proofErr w:type="spellEnd"/>
      <w:r w:rsidR="0054078A">
        <w:rPr>
          <w:bCs/>
        </w:rPr>
        <w:t xml:space="preserve"> is expressed</w:t>
      </w:r>
      <w:r w:rsidR="00B22318">
        <w:rPr>
          <w:bCs/>
        </w:rPr>
        <w:t xml:space="preserve"> </w:t>
      </w:r>
      <w:r w:rsidR="001F0B9B">
        <w:rPr>
          <w:bCs/>
        </w:rPr>
        <w:t>there is an</w:t>
      </w:r>
      <w:r w:rsidR="00CF490C">
        <w:rPr>
          <w:bCs/>
        </w:rPr>
        <w:t xml:space="preserve"> increase in the formation of PDAC, which is identified by the formation of </w:t>
      </w:r>
      <w:proofErr w:type="spellStart"/>
      <w:r w:rsidR="00CF490C">
        <w:rPr>
          <w:bCs/>
        </w:rPr>
        <w:t>PanINs</w:t>
      </w:r>
      <w:proofErr w:type="spellEnd"/>
      <w:r w:rsidR="00CF490C">
        <w:rPr>
          <w:bCs/>
        </w:rPr>
        <w:t xml:space="preserve"> (Fig 1).</w:t>
      </w:r>
      <w:r w:rsidR="000B44D6">
        <w:rPr>
          <w:bCs/>
        </w:rPr>
        <w:t xml:space="preserve"> This indicated that </w:t>
      </w:r>
      <w:r w:rsidR="007E3C95">
        <w:rPr>
          <w:bCs/>
        </w:rPr>
        <w:t xml:space="preserve">TGIF1 was a tumor suppressor </w:t>
      </w:r>
      <w:r w:rsidR="00F5625D">
        <w:rPr>
          <w:bCs/>
        </w:rPr>
        <w:t xml:space="preserve">when it is </w:t>
      </w:r>
      <w:r w:rsidR="00D22550">
        <w:rPr>
          <w:bCs/>
        </w:rPr>
        <w:t xml:space="preserve">was </w:t>
      </w:r>
      <w:r w:rsidR="00F5625D">
        <w:rPr>
          <w:bCs/>
        </w:rPr>
        <w:t>not expressed</w:t>
      </w:r>
      <w:r w:rsidR="00D22550">
        <w:rPr>
          <w:bCs/>
        </w:rPr>
        <w:t>,</w:t>
      </w:r>
      <w:r w:rsidR="00F5625D">
        <w:rPr>
          <w:bCs/>
        </w:rPr>
        <w:t xml:space="preserve"> PDAC formation accelerate</w:t>
      </w:r>
      <w:r w:rsidR="00D22550">
        <w:rPr>
          <w:bCs/>
        </w:rPr>
        <w:t>d</w:t>
      </w:r>
      <w:r w:rsidR="00F5625D">
        <w:rPr>
          <w:bCs/>
        </w:rPr>
        <w:t>.</w:t>
      </w:r>
      <w:r w:rsidR="002D08F0">
        <w:rPr>
          <w:bCs/>
        </w:rPr>
        <w:t xml:space="preserve"> </w:t>
      </w:r>
      <w:r w:rsidR="004C5CE2">
        <w:rPr>
          <w:bCs/>
        </w:rPr>
        <w:t xml:space="preserve">When </w:t>
      </w:r>
      <w:proofErr w:type="spellStart"/>
      <w:r w:rsidR="004C5CE2">
        <w:rPr>
          <w:bCs/>
        </w:rPr>
        <w:t>Kras</w:t>
      </w:r>
      <w:proofErr w:type="spellEnd"/>
      <w:r w:rsidR="004C5CE2">
        <w:rPr>
          <w:bCs/>
        </w:rPr>
        <w:t xml:space="preserve"> </w:t>
      </w:r>
      <w:r w:rsidR="003C69BB">
        <w:rPr>
          <w:bCs/>
        </w:rPr>
        <w:t>was</w:t>
      </w:r>
      <w:r w:rsidR="004C5CE2">
        <w:rPr>
          <w:bCs/>
        </w:rPr>
        <w:t xml:space="preserve"> activated, TGIF1 </w:t>
      </w:r>
      <w:r w:rsidR="003C69BB">
        <w:rPr>
          <w:bCs/>
        </w:rPr>
        <w:t>was</w:t>
      </w:r>
      <w:r w:rsidR="004C5CE2">
        <w:rPr>
          <w:bCs/>
        </w:rPr>
        <w:t xml:space="preserve"> phosphorylated by MAPK</w:t>
      </w:r>
      <w:r w:rsidR="00EB506F">
        <w:rPr>
          <w:bCs/>
        </w:rPr>
        <w:t>, repressing its tumor suppressor function.</w:t>
      </w:r>
    </w:p>
    <w:p w14:paraId="4BC3E7BB" w14:textId="25959134" w:rsidR="008C7A34" w:rsidRDefault="002C3C04">
      <w:r>
        <w:rPr>
          <w:noProof/>
        </w:rPr>
        <w:drawing>
          <wp:anchor distT="114300" distB="114300" distL="114300" distR="114300" simplePos="0" relativeHeight="251658240" behindDoc="1" locked="0" layoutInCell="1" hidden="0" allowOverlap="1" wp14:anchorId="73616C5D" wp14:editId="464D74D7">
            <wp:simplePos x="0" y="0"/>
            <wp:positionH relativeFrom="column">
              <wp:posOffset>4453602</wp:posOffset>
            </wp:positionH>
            <wp:positionV relativeFrom="page">
              <wp:posOffset>6327256</wp:posOffset>
            </wp:positionV>
            <wp:extent cx="2333625" cy="2148840"/>
            <wp:effectExtent l="0" t="0" r="3175" b="0"/>
            <wp:wrapTight wrapText="bothSides">
              <wp:wrapPolygon edited="0">
                <wp:start x="0" y="0"/>
                <wp:lineTo x="0" y="21447"/>
                <wp:lineTo x="21512" y="21447"/>
                <wp:lineTo x="21512" y="0"/>
                <wp:lineTo x="0" y="0"/>
              </wp:wrapPolygon>
            </wp:wrapTight>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2333625" cy="2148840"/>
                    </a:xfrm>
                    <a:prstGeom prst="rect">
                      <a:avLst/>
                    </a:prstGeom>
                    <a:ln/>
                  </pic:spPr>
                </pic:pic>
              </a:graphicData>
            </a:graphic>
            <wp14:sizeRelH relativeFrom="margin">
              <wp14:pctWidth>0</wp14:pctWidth>
            </wp14:sizeRelH>
            <wp14:sizeRelV relativeFrom="margin">
              <wp14:pctHeight>0</wp14:pctHeight>
            </wp14:sizeRelV>
          </wp:anchor>
        </w:drawing>
      </w:r>
      <w:r w:rsidR="00502FC9">
        <w:rPr>
          <w:bCs/>
        </w:rPr>
        <w:t xml:space="preserve">In another </w:t>
      </w:r>
      <w:r w:rsidR="00A91177">
        <w:rPr>
          <w:bCs/>
        </w:rPr>
        <w:t xml:space="preserve">experiment they </w:t>
      </w:r>
      <w:r w:rsidR="00021F7A">
        <w:rPr>
          <w:bCs/>
        </w:rPr>
        <w:t>explored how</w:t>
      </w:r>
      <w:r w:rsidR="00454A26">
        <w:rPr>
          <w:bCs/>
        </w:rPr>
        <w:t xml:space="preserve"> </w:t>
      </w:r>
      <w:r w:rsidR="00021F7A">
        <w:t>TGF-β</w:t>
      </w:r>
      <w:r w:rsidR="00454A26">
        <w:t xml:space="preserve"> played</w:t>
      </w:r>
      <w:r w:rsidR="00207C6D">
        <w:t xml:space="preserve"> a role in PDAC</w:t>
      </w:r>
      <w:r w:rsidR="00021F7A">
        <w:t xml:space="preserve">, </w:t>
      </w:r>
      <w:r w:rsidR="00AA1990">
        <w:t>TGF-β</w:t>
      </w:r>
      <w:r w:rsidR="00207C6D">
        <w:t xml:space="preserve"> is </w:t>
      </w:r>
      <w:r w:rsidR="009A3831">
        <w:t>a transcription</w:t>
      </w:r>
      <w:r w:rsidR="003C0973">
        <w:t xml:space="preserve"> factor</w:t>
      </w:r>
      <w:r w:rsidR="00E96F7A">
        <w:t xml:space="preserve"> that is involved in cell regulation</w:t>
      </w:r>
      <w:r w:rsidR="00486663">
        <w:t xml:space="preserve">. </w:t>
      </w:r>
      <w:r w:rsidR="00A73C96">
        <w:t xml:space="preserve">Their finding showed that </w:t>
      </w:r>
      <w:r w:rsidR="001D6BD4">
        <w:t>TGF-β</w:t>
      </w:r>
      <w:r w:rsidR="00B36347">
        <w:t xml:space="preserve"> levels </w:t>
      </w:r>
      <w:r w:rsidR="009E02B1">
        <w:t xml:space="preserve">of expression </w:t>
      </w:r>
      <w:r w:rsidR="00D22550">
        <w:t xml:space="preserve">were </w:t>
      </w:r>
      <w:r w:rsidR="009E02B1">
        <w:t xml:space="preserve">high during </w:t>
      </w:r>
      <w:r w:rsidR="00D729E4">
        <w:t>the final stages of PDAC</w:t>
      </w:r>
      <w:r w:rsidR="00D5611D">
        <w:t xml:space="preserve">, </w:t>
      </w:r>
      <w:r w:rsidR="00D22550">
        <w:t xml:space="preserve">this </w:t>
      </w:r>
      <w:r w:rsidR="00D5611D">
        <w:t>indica</w:t>
      </w:r>
      <w:r w:rsidR="00D22550">
        <w:t>ted</w:t>
      </w:r>
      <w:r w:rsidR="00A91177">
        <w:t xml:space="preserve"> that it also interacts </w:t>
      </w:r>
      <w:r w:rsidR="00205982">
        <w:t xml:space="preserve">with </w:t>
      </w:r>
      <w:r w:rsidR="00205982" w:rsidRPr="006B0187">
        <w:t>TGIF</w:t>
      </w:r>
      <w:r w:rsidR="00A91177">
        <w:t>1</w:t>
      </w:r>
      <w:r w:rsidR="00473250">
        <w:t>.</w:t>
      </w:r>
    </w:p>
    <w:p w14:paraId="104F78D8" w14:textId="0984D3DB" w:rsidR="009E1A7F" w:rsidRDefault="009E1A7F">
      <w:pPr>
        <w:rPr>
          <w:bCs/>
        </w:rPr>
      </w:pPr>
    </w:p>
    <w:p w14:paraId="41EB293E" w14:textId="55FB5F9C" w:rsidR="00E61D81" w:rsidRPr="009E1A7F" w:rsidRDefault="009F55C3">
      <w:pPr>
        <w:rPr>
          <w:bCs/>
        </w:rPr>
      </w:pPr>
      <w:r>
        <w:rPr>
          <w:b/>
        </w:rPr>
        <w:t>II. Experiment</w:t>
      </w:r>
      <w:r w:rsidR="009E1A7F">
        <w:rPr>
          <w:b/>
        </w:rPr>
        <w:t xml:space="preserve">: </w:t>
      </w:r>
      <w:r>
        <w:t>The aim of this experiment is to measure the expression</w:t>
      </w:r>
      <w:r w:rsidR="004D78FC">
        <w:t xml:space="preserve"> levels</w:t>
      </w:r>
      <w:r>
        <w:t xml:space="preserve"> of TGIF1 in pancreatic cells </w:t>
      </w:r>
      <w:r w:rsidR="004D78FC">
        <w:t>of</w:t>
      </w:r>
      <w:r>
        <w:t xml:space="preserve"> mice when there is an overexpression of TGF-β. </w:t>
      </w:r>
      <w:r w:rsidR="002141D6">
        <w:t>This experiment will</w:t>
      </w:r>
      <w:r w:rsidR="007A4EF4">
        <w:t xml:space="preserve"> help</w:t>
      </w:r>
      <w:r w:rsidR="002141D6">
        <w:t xml:space="preserve"> </w:t>
      </w:r>
      <w:r w:rsidR="006C79A4">
        <w:t xml:space="preserve">determine if </w:t>
      </w:r>
      <w:r w:rsidR="007A4EF4">
        <w:t xml:space="preserve">the </w:t>
      </w:r>
      <w:r w:rsidR="006C79A4">
        <w:t>overexpression of TGF-β represses TGIF1 as</w:t>
      </w:r>
      <w:r w:rsidR="007A4EF4">
        <w:t xml:space="preserve"> a</w:t>
      </w:r>
      <w:r w:rsidR="006C79A4">
        <w:t xml:space="preserve"> tumor suppressor </w:t>
      </w:r>
      <w:r w:rsidR="007A4EF4">
        <w:t xml:space="preserve">in </w:t>
      </w:r>
      <w:r w:rsidR="006C79A4">
        <w:t>PDAC.</w:t>
      </w:r>
      <w:r w:rsidR="00700272">
        <w:t xml:space="preserve"> I would expect the expression levels of TGIF1 to decrease</w:t>
      </w:r>
      <w:r w:rsidR="00462F3C">
        <w:t xml:space="preserve"> indicating that </w:t>
      </w:r>
      <w:r w:rsidR="00E77220">
        <w:t xml:space="preserve">it has loss it’s ability as a tumor </w:t>
      </w:r>
      <w:r w:rsidR="00CF21D9">
        <w:t>suppressor.</w:t>
      </w:r>
    </w:p>
    <w:p w14:paraId="759A022B" w14:textId="556B481A" w:rsidR="00E61D81" w:rsidRDefault="00E61D81">
      <w:pPr>
        <w:rPr>
          <w:b/>
        </w:rPr>
      </w:pPr>
    </w:p>
    <w:p w14:paraId="305212E0" w14:textId="77C912C1" w:rsidR="00E61D81" w:rsidRDefault="009F55C3">
      <w:pPr>
        <w:rPr>
          <w:u w:val="single"/>
        </w:rPr>
      </w:pPr>
      <w:r>
        <w:t xml:space="preserve">II.A </w:t>
      </w:r>
      <w:r>
        <w:rPr>
          <w:u w:val="single"/>
        </w:rPr>
        <w:t>TGF-β plasmid</w:t>
      </w:r>
    </w:p>
    <w:p w14:paraId="57AADA8A" w14:textId="1DDC4025" w:rsidR="00E61D81" w:rsidRDefault="00FC2744">
      <w:r>
        <w:rPr>
          <w:noProof/>
        </w:rPr>
        <mc:AlternateContent>
          <mc:Choice Requires="wps">
            <w:drawing>
              <wp:anchor distT="114300" distB="114300" distL="114300" distR="114300" simplePos="0" relativeHeight="251659264" behindDoc="1" locked="0" layoutInCell="1" hidden="0" allowOverlap="1" wp14:anchorId="09483656" wp14:editId="73F23702">
                <wp:simplePos x="0" y="0"/>
                <wp:positionH relativeFrom="column">
                  <wp:posOffset>4737735</wp:posOffset>
                </wp:positionH>
                <wp:positionV relativeFrom="paragraph">
                  <wp:posOffset>3248</wp:posOffset>
                </wp:positionV>
                <wp:extent cx="1939290" cy="512445"/>
                <wp:effectExtent l="0" t="0" r="0" b="0"/>
                <wp:wrapTight wrapText="bothSides">
                  <wp:wrapPolygon edited="0">
                    <wp:start x="707" y="2677"/>
                    <wp:lineTo x="707" y="18736"/>
                    <wp:lineTo x="20794" y="18736"/>
                    <wp:lineTo x="20794" y="2677"/>
                    <wp:lineTo x="707" y="2677"/>
                  </wp:wrapPolygon>
                </wp:wrapTight>
                <wp:docPr id="4" name="Text Box 4"/>
                <wp:cNvGraphicFramePr/>
                <a:graphic xmlns:a="http://schemas.openxmlformats.org/drawingml/2006/main">
                  <a:graphicData uri="http://schemas.microsoft.com/office/word/2010/wordprocessingShape">
                    <wps:wsp>
                      <wps:cNvSpPr txBox="1"/>
                      <wps:spPr>
                        <a:xfrm>
                          <a:off x="0" y="0"/>
                          <a:ext cx="1939290" cy="512445"/>
                        </a:xfrm>
                        <a:prstGeom prst="rect">
                          <a:avLst/>
                        </a:prstGeom>
                        <a:noFill/>
                        <a:ln>
                          <a:noFill/>
                        </a:ln>
                      </wps:spPr>
                      <wps:txbx>
                        <w:txbxContent>
                          <w:p w14:paraId="42BDE690" w14:textId="1E9041D9" w:rsidR="00E61D81" w:rsidRDefault="009F55C3">
                            <w:pPr>
                              <w:textDirection w:val="btLr"/>
                              <w:rPr>
                                <w:b/>
                                <w:color w:val="000000"/>
                                <w:sz w:val="20"/>
                                <w:szCs w:val="20"/>
                              </w:rPr>
                            </w:pPr>
                            <w:r w:rsidRPr="003F5697">
                              <w:rPr>
                                <w:b/>
                                <w:color w:val="000000"/>
                                <w:sz w:val="20"/>
                                <w:szCs w:val="20"/>
                              </w:rPr>
                              <w:t xml:space="preserve">Fig </w:t>
                            </w:r>
                            <w:r w:rsidR="003F5697">
                              <w:rPr>
                                <w:b/>
                                <w:color w:val="000000"/>
                                <w:sz w:val="20"/>
                                <w:szCs w:val="20"/>
                              </w:rPr>
                              <w:t>3</w:t>
                            </w:r>
                            <w:r w:rsidRPr="003F5697">
                              <w:rPr>
                                <w:b/>
                                <w:color w:val="000000"/>
                                <w:sz w:val="20"/>
                                <w:szCs w:val="20"/>
                              </w:rPr>
                              <w:t>: TGF-β plasmid</w:t>
                            </w:r>
                          </w:p>
                          <w:p w14:paraId="1F3AF634" w14:textId="694E3676" w:rsidR="009F2A55" w:rsidRPr="009F2A55" w:rsidRDefault="009F2A55">
                            <w:pPr>
                              <w:textDirection w:val="btLr"/>
                              <w:rPr>
                                <w:bCs/>
                                <w:color w:val="000000"/>
                                <w:sz w:val="20"/>
                                <w:szCs w:val="20"/>
                              </w:rPr>
                            </w:pPr>
                            <w:r w:rsidRPr="009F2A55">
                              <w:rPr>
                                <w:bCs/>
                                <w:color w:val="000000"/>
                                <w:sz w:val="20"/>
                                <w:szCs w:val="20"/>
                              </w:rPr>
                              <w:t>Figure obtained from reference 3</w:t>
                            </w:r>
                          </w:p>
                          <w:p w14:paraId="77D43A68" w14:textId="77777777" w:rsidR="004855B5" w:rsidRDefault="004855B5"/>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09483656" id="Text Box 4" o:spid="_x0000_s1028" type="#_x0000_t202" style="position:absolute;margin-left:373.05pt;margin-top:.25pt;width:152.7pt;height:40.35pt;z-index:-251657216;visibility:visible;mso-wrap-style:square;mso-width-percent:0;mso-height-percent:0;mso-wrap-distance-left:9pt;mso-wrap-distance-top:9pt;mso-wrap-distance-right:9pt;mso-wrap-distance-bottom:9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MONxgEAAIQDAAAOAAAAZHJzL2Uyb0RvYy54bWysU9uO0zAQfUfiHyy/0zQhRbRqugJWRUgr&#13;&#10;WGmXD3Adu7EUe4zHbdK/Z+y03S68IV5czyXH55yZru9G27OjCmjANbyczTlTTkJr3L7hP5+37z5y&#13;&#10;hlG4VvTgVMNPCvnd5u2b9eBXqoIO+lYFRiAOV4NveBejXxUFyk5ZgTPwylFRQ7AiUhj2RRvEQOi2&#13;&#10;L6r5/EMxQGh9AKkQKXs/Ffkm42utZPyhNarI+oYTt5jPkM9dOovNWqz2QfjOyDMN8Q8srDCOHr1C&#13;&#10;3Yso2CGYv6CskQEQdJxJsAVobaTKGkhNOf9DzVMnvMpayBz0V5vw/8HK78fHwEzb8JozJyyN6FmN&#13;&#10;kX2GkdXJncHjipqePLXFkdI05UseKZlEjzrY9EtyGNXJ59PV2wQm00fL98tqSSVJtUVZ1fUiwRQv&#13;&#10;X/uA8asCy9Kl4YFmly0VxweMU+ulJT3mYGv6Ps+vd68ShJkyRaI+UUy3OO7GLLS60N9BeyJV6OXW&#13;&#10;0JMPAuOjCDT+krOBVqLh+OsgguKs/+bI82VZVwvaodsg3Aa720A42QFtWuRsun6Jee8mqp8OEbTJ&#13;&#10;shK5icqZM406G3Ney7RLt3HuevnzbH4DAAD//wMAUEsDBBQABgAIAAAAIQBOhQ4R5QAAAA0BAAAP&#13;&#10;AAAAZHJzL2Rvd25yZXYueG1sTE/fS8MwEH4X/B/CCb6ISztcnV2vQxRFBkOsIvqWNWkTbZLaZFv1&#13;&#10;r/f2pC/HHd93349iOdqO7dQQjHcI6SQBplztpXEtwsvz3fkcWIjCSdF5pxC+VYBleXxUiFz6vXtS&#13;&#10;uyq2jERcyAWCjrHPOQ+1VlaEie+VI6zxgxWRzqHlchB7ErcdnyZJxq0wjhy06NWNVvVntbUIV69v&#13;&#10;Z8270T/t/eNH1jxUa/O1WiOenoy3CxrXC2BRjfHvAw4dKD+UFGzjt04G1iFcXmQpURFmwA5wMktp&#13;&#10;2yDM0ynwsuD/W5S/AAAA//8DAFBLAQItABQABgAIAAAAIQC2gziS/gAAAOEBAAATAAAAAAAAAAAA&#13;&#10;AAAAAAAAAABbQ29udGVudF9UeXBlc10ueG1sUEsBAi0AFAAGAAgAAAAhADj9If/WAAAAlAEAAAsA&#13;&#10;AAAAAAAAAAAAAAAALwEAAF9yZWxzLy5yZWxzUEsBAi0AFAAGAAgAAAAhAIaUw43GAQAAhAMAAA4A&#13;&#10;AAAAAAAAAAAAAAAALgIAAGRycy9lMm9Eb2MueG1sUEsBAi0AFAAGAAgAAAAhAE6FDhHlAAAADQEA&#13;&#10;AA8AAAAAAAAAAAAAAAAAIAQAAGRycy9kb3ducmV2LnhtbFBLBQYAAAAABAAEAPMAAAAyBQAAAAA=&#13;&#10;" filled="f" stroked="f">
                <v:textbox inset="2.53958mm,2.53958mm,2.53958mm,2.53958mm">
                  <w:txbxContent>
                    <w:p w14:paraId="42BDE690" w14:textId="1E9041D9" w:rsidR="00E61D81" w:rsidRDefault="009F55C3">
                      <w:pPr>
                        <w:textDirection w:val="btLr"/>
                        <w:rPr>
                          <w:b/>
                          <w:color w:val="000000"/>
                          <w:sz w:val="20"/>
                          <w:szCs w:val="20"/>
                        </w:rPr>
                      </w:pPr>
                      <w:r w:rsidRPr="003F5697">
                        <w:rPr>
                          <w:b/>
                          <w:color w:val="000000"/>
                          <w:sz w:val="20"/>
                          <w:szCs w:val="20"/>
                        </w:rPr>
                        <w:t xml:space="preserve">Fig </w:t>
                      </w:r>
                      <w:r w:rsidR="003F5697">
                        <w:rPr>
                          <w:b/>
                          <w:color w:val="000000"/>
                          <w:sz w:val="20"/>
                          <w:szCs w:val="20"/>
                        </w:rPr>
                        <w:t>3</w:t>
                      </w:r>
                      <w:r w:rsidRPr="003F5697">
                        <w:rPr>
                          <w:b/>
                          <w:color w:val="000000"/>
                          <w:sz w:val="20"/>
                          <w:szCs w:val="20"/>
                        </w:rPr>
                        <w:t>: TGF-β plasmid</w:t>
                      </w:r>
                    </w:p>
                    <w:p w14:paraId="1F3AF634" w14:textId="694E3676" w:rsidR="009F2A55" w:rsidRPr="009F2A55" w:rsidRDefault="009F2A55">
                      <w:pPr>
                        <w:textDirection w:val="btLr"/>
                        <w:rPr>
                          <w:bCs/>
                          <w:color w:val="000000"/>
                          <w:sz w:val="20"/>
                          <w:szCs w:val="20"/>
                        </w:rPr>
                      </w:pPr>
                      <w:r w:rsidRPr="009F2A55">
                        <w:rPr>
                          <w:bCs/>
                          <w:color w:val="000000"/>
                          <w:sz w:val="20"/>
                          <w:szCs w:val="20"/>
                        </w:rPr>
                        <w:t>Figure obtained from reference 3</w:t>
                      </w:r>
                    </w:p>
                    <w:p w14:paraId="77D43A68" w14:textId="77777777" w:rsidR="004855B5" w:rsidRDefault="004855B5"/>
                  </w:txbxContent>
                </v:textbox>
                <w10:wrap type="tight"/>
              </v:shape>
            </w:pict>
          </mc:Fallback>
        </mc:AlternateContent>
      </w:r>
      <w:r w:rsidR="009F55C3">
        <w:t xml:space="preserve">In order to get clones of TGF-β, a plasmid needs to be constructed. A plasmid is a small circular double stranded piece of DNA, where a target </w:t>
      </w:r>
      <w:r w:rsidR="009F55C3">
        <w:lastRenderedPageBreak/>
        <w:t>gene can be inserted in order to create recombinant DNA (DNA assembled out of fragments). It then can be introduced to a bacterium, where it divides quickly, this makes it so that large amounts of the gene of interest can be produced.</w:t>
      </w:r>
    </w:p>
    <w:p w14:paraId="508EBEB1" w14:textId="5AE92A50" w:rsidR="00E61D81" w:rsidRDefault="00E61D81"/>
    <w:p w14:paraId="0F366EFC" w14:textId="165B8597" w:rsidR="00E61D81" w:rsidRDefault="00D8682B">
      <w:r>
        <w:rPr>
          <w:noProof/>
        </w:rPr>
        <mc:AlternateContent>
          <mc:Choice Requires="wpg">
            <w:drawing>
              <wp:anchor distT="114300" distB="114300" distL="114300" distR="114300" simplePos="0" relativeHeight="251661312" behindDoc="0" locked="0" layoutInCell="1" hidden="0" allowOverlap="1" wp14:anchorId="2534B3D3" wp14:editId="773183F5">
                <wp:simplePos x="0" y="0"/>
                <wp:positionH relativeFrom="column">
                  <wp:posOffset>4142167</wp:posOffset>
                </wp:positionH>
                <wp:positionV relativeFrom="paragraph">
                  <wp:posOffset>1500523</wp:posOffset>
                </wp:positionV>
                <wp:extent cx="2333625" cy="358407"/>
                <wp:effectExtent l="0" t="0" r="0" b="0"/>
                <wp:wrapSquare wrapText="bothSides" distT="114300" distB="114300" distL="114300" distR="114300"/>
                <wp:docPr id="1" name="Group 1"/>
                <wp:cNvGraphicFramePr/>
                <a:graphic xmlns:a="http://schemas.openxmlformats.org/drawingml/2006/main">
                  <a:graphicData uri="http://schemas.microsoft.com/office/word/2010/wordprocessingGroup">
                    <wpg:wgp>
                      <wpg:cNvGrpSpPr/>
                      <wpg:grpSpPr>
                        <a:xfrm>
                          <a:off x="0" y="0"/>
                          <a:ext cx="2333625" cy="358407"/>
                          <a:chOff x="2379975" y="1071975"/>
                          <a:chExt cx="2773200" cy="413100"/>
                        </a:xfrm>
                      </wpg:grpSpPr>
                      <wps:wsp>
                        <wps:cNvPr id="2" name="Text Box 2"/>
                        <wps:cNvSpPr txBox="1"/>
                        <wps:spPr>
                          <a:xfrm>
                            <a:off x="2379975" y="1140825"/>
                            <a:ext cx="2262000" cy="245700"/>
                          </a:xfrm>
                          <a:prstGeom prst="rect">
                            <a:avLst/>
                          </a:prstGeom>
                          <a:noFill/>
                          <a:ln>
                            <a:noFill/>
                          </a:ln>
                        </wps:spPr>
                        <wps:txbx>
                          <w:txbxContent>
                            <w:p w14:paraId="4879A2B3" w14:textId="77777777" w:rsidR="00E61D81" w:rsidRDefault="00E61D81">
                              <w:pPr>
                                <w:textDirection w:val="btLr"/>
                              </w:pPr>
                            </w:p>
                          </w:txbxContent>
                        </wps:txbx>
                        <wps:bodyPr spcFirstLastPara="1" wrap="square" lIns="91425" tIns="91425" rIns="91425" bIns="91425" anchor="t" anchorCtr="0">
                          <a:noAutofit/>
                        </wps:bodyPr>
                      </wps:wsp>
                      <wps:wsp>
                        <wps:cNvPr id="3" name="Text Box 3"/>
                        <wps:cNvSpPr txBox="1"/>
                        <wps:spPr>
                          <a:xfrm>
                            <a:off x="2379975" y="1071975"/>
                            <a:ext cx="2773200" cy="413100"/>
                          </a:xfrm>
                          <a:prstGeom prst="rect">
                            <a:avLst/>
                          </a:prstGeom>
                          <a:noFill/>
                          <a:ln>
                            <a:noFill/>
                          </a:ln>
                        </wps:spPr>
                        <wps:txbx>
                          <w:txbxContent>
                            <w:p w14:paraId="6EBDFE5E" w14:textId="08155D45" w:rsidR="00E61D81" w:rsidRDefault="009F55C3">
                              <w:pPr>
                                <w:textDirection w:val="btLr"/>
                                <w:rPr>
                                  <w:b/>
                                  <w:color w:val="000000"/>
                                  <w:sz w:val="20"/>
                                  <w:szCs w:val="20"/>
                                </w:rPr>
                              </w:pPr>
                              <w:r w:rsidRPr="003F5697">
                                <w:rPr>
                                  <w:b/>
                                  <w:color w:val="000000"/>
                                  <w:sz w:val="20"/>
                                  <w:szCs w:val="20"/>
                                </w:rPr>
                                <w:t xml:space="preserve">Fig </w:t>
                              </w:r>
                              <w:r w:rsidR="003F5697">
                                <w:rPr>
                                  <w:b/>
                                  <w:color w:val="000000"/>
                                  <w:sz w:val="20"/>
                                  <w:szCs w:val="20"/>
                                </w:rPr>
                                <w:t>4</w:t>
                              </w:r>
                              <w:r w:rsidRPr="003F5697">
                                <w:rPr>
                                  <w:b/>
                                  <w:color w:val="000000"/>
                                  <w:sz w:val="20"/>
                                  <w:szCs w:val="20"/>
                                </w:rPr>
                                <w:t>: Bacterial transformation</w:t>
                              </w:r>
                            </w:p>
                            <w:p w14:paraId="36A7D7D0" w14:textId="77777777" w:rsidR="005F3EAA" w:rsidRPr="003F5697" w:rsidRDefault="005F3EAA">
                              <w:pPr>
                                <w:textDirection w:val="btLr"/>
                                <w:rPr>
                                  <w:sz w:val="20"/>
                                  <w:szCs w:val="20"/>
                                </w:rPr>
                              </w:pPr>
                            </w:p>
                          </w:txbxContent>
                        </wps:txbx>
                        <wps:bodyPr spcFirstLastPara="1" wrap="square" lIns="91425" tIns="91425" rIns="91425" bIns="91425" anchor="t" anchorCtr="0">
                          <a:noAutofit/>
                        </wps:bodyPr>
                      </wps:wsp>
                    </wpg:wgp>
                  </a:graphicData>
                </a:graphic>
              </wp:anchor>
            </w:drawing>
          </mc:Choice>
          <mc:Fallback>
            <w:pict>
              <v:group w14:anchorId="2534B3D3" id="Group 1" o:spid="_x0000_s1029" style="position:absolute;margin-left:326.15pt;margin-top:118.15pt;width:183.75pt;height:28.2pt;z-index:251661312;mso-wrap-distance-top:9pt;mso-wrap-distance-bottom:9pt" coordorigin="23799,10719" coordsize="27732,413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XDg1XQIAAMoGAAAOAAAAZHJzL2Uyb0RvYy54bWzUVVtv2yAUfp+0/4B4X3xNnFpxqm1doknV&#13;&#10;FqndDyAYXyQbGJDY+fc7YMdN00mTWm3SXgjngA/f5UBWt33boCNTuhY8w8HMx4hxKvKalxn+8bj5&#13;&#10;sMRIG8Jz0gjOMnxiGt+u379bdTJloahEkzOFoAjXaSczXBkjU8/TtGIt0TMhGYfFQqiWGAhV6eWK&#13;&#10;dFC9bbzQ9xdeJ1QulaBMa8jeDYt47eoXBaPme1FoZlCTYcBm3KjcuLejt16RtFREVjUdYZBXoGhJ&#13;&#10;zeHQqdQdMQQdVP2iVFtTJbQozIyK1hNFUVPmOACbwL9is1XiIB2XMu1KOckE0l7p9Oqy9Ntxp1Cd&#13;&#10;g3cYcdKCRe5UFFhpOlmmsGOr5IPcqTFRDpFl2xeqtb/AA/VO1NMkKusNopAMoyhahHOMKKxF82Xs&#13;&#10;J4PqtAJr7GdhlNzcJLADNgR+Eti584VWX85FkiQCu4cicRAFMIct3hmCZ5FOwDoJzaSf9NJv0+uh&#13;&#10;IpI5G7RVY9QrPOv1aJl+Ej0KLSR7NmyyeiHTQ9oqO+Y1JH8j2zP+QewvQS3Hf5IwXAD5kX0Yz5Mr&#13;&#10;9iSVSpstEy2ykwwr6HvXjuR4r80g1HmLBcDFpm4ad0bDnyVAUZsBPXU6wLUz0+971yTRmcpe5Cdg&#13;&#10;qCXd1HDkPdFmRxRcHWijDq5ThvXPA1EMo+YrB/1vgtj2gLkM1GWwvwwIp5WAW2owGqafjbuzA9SP&#13;&#10;ByOK2tGy4AYoI2awffDgr/sfvfB/Euct/l/2/+T/H7r/3/kf/xf+u9cAHkz3QIyPu32RL2PXL09/&#13;&#10;QetfAAAA//8DAFBLAwQUAAYACAAAACEAja5amOQAAAARAQAADwAAAGRycy9kb3ducmV2LnhtbExP&#13;&#10;S2vCQBC+F/oflin0VjcPTGvMRsQ+TiJUC6W3NRmTYHY2ZNck/vuOp/YyzOOb75GtJtOKAXvXWFIQ&#13;&#10;zgIQSIUtG6oUfB3en15AOK+p1K0lVHBFB6v8/i7TaWlH+sRh7yvBJORSraD2vkuldEWNRruZ7ZD4&#13;&#10;drK90Z7HvpJlr0cmN62MgiCRRjfECrXucFNjcd5fjIKPUY/rOHwbtufT5vpzmO++tyEq9fgwvS65&#13;&#10;rJcgPE7+7wNuGdg/5GzsaC9UOtEqSOZRzFAFUZxwc0ME4YIjHXm1iJ5B5pn8nyT/BQAA//8DAFBL&#13;&#10;AQItABQABgAIAAAAIQC2gziS/gAAAOEBAAATAAAAAAAAAAAAAAAAAAAAAABbQ29udGVudF9UeXBl&#13;&#10;c10ueG1sUEsBAi0AFAAGAAgAAAAhADj9If/WAAAAlAEAAAsAAAAAAAAAAAAAAAAALwEAAF9yZWxz&#13;&#10;Ly5yZWxzUEsBAi0AFAAGAAgAAAAhAA5cODVdAgAAygYAAA4AAAAAAAAAAAAAAAAALgIAAGRycy9l&#13;&#10;Mm9Eb2MueG1sUEsBAi0AFAAGAAgAAAAhAI2uWpjkAAAAEQEAAA8AAAAAAAAAAAAAAAAAtwQAAGRy&#13;&#10;cy9kb3ducmV2LnhtbFBLBQYAAAAABAAEAPMAAADIBQAAAAA=&#13;&#10;">
                <v:shape id="Text Box 2" o:spid="_x0000_s1030" type="#_x0000_t202" style="position:absolute;left:23799;top:11408;width:22620;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yFlwygAAAN8AAAAPAAAAZHJzL2Rvd25yZXYueG1sRI9BSwMx&#13;&#10;FITvgv8hPKGXYrPtodRt0yJKpQhFukqpt8fm7Sa6eVk3abv6641Q8DIwDPMNs1j1rhEn6oL1rGA8&#13;&#10;ykAQl15brhW8va5vZyBCRNbYeCYF3xRgtby+WmCu/Zl3dCpiLRKEQ44KTIxtLmUoDTkMI98Sp6zy&#13;&#10;ncOYbFdL3eE5wV0jJ1k2lQ4tpwWDLT0YKj+Lo1Nwtz8Mq3drfuqnl49ptSm29ut5q9Tgpn+cJ7mf&#13;&#10;g4jUx//GBbHRCibw9yd9Abn8BQAA//8DAFBLAQItABQABgAIAAAAIQDb4fbL7gAAAIUBAAATAAAA&#13;&#10;AAAAAAAAAAAAAAAAAABbQ29udGVudF9UeXBlc10ueG1sUEsBAi0AFAAGAAgAAAAhAFr0LFu/AAAA&#13;&#10;FQEAAAsAAAAAAAAAAAAAAAAAHwEAAF9yZWxzLy5yZWxzUEsBAi0AFAAGAAgAAAAhALTIWXDKAAAA&#13;&#10;3wAAAA8AAAAAAAAAAAAAAAAABwIAAGRycy9kb3ducmV2LnhtbFBLBQYAAAAAAwADALcAAAD+AgAA&#13;&#10;AAA=&#13;&#10;" filled="f" stroked="f">
                  <v:textbox inset="2.53958mm,2.53958mm,2.53958mm,2.53958mm">
                    <w:txbxContent>
                      <w:p w14:paraId="4879A2B3" w14:textId="77777777" w:rsidR="00E61D81" w:rsidRDefault="00E61D81">
                        <w:pPr>
                          <w:textDirection w:val="btLr"/>
                        </w:pPr>
                      </w:p>
                    </w:txbxContent>
                  </v:textbox>
                </v:shape>
                <v:shape id="Text Box 3" o:spid="_x0000_s1031" type="#_x0000_t202" style="position:absolute;left:23799;top:10719;width:27732;height:41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hPzrygAAAN8AAAAPAAAAZHJzL2Rvd25yZXYueG1sRI9BSwMx&#13;&#10;FITvgv8hPMGLtFktFN02LaJYSqGIaxG9PTZvN9HNy7pJ262/vikUvAwMw3zDTOe9a8SOumA9K7gd&#13;&#10;ZiCIS68t1wo27y+DexAhImtsPJOCAwWYzy4vpphrv+c32hWxFgnCIUcFJsY2lzKUhhyGoW+JU1b5&#13;&#10;zmFMtqul7nCf4K6Rd1k2lg4tpwWDLT0ZKn+KrVPw8PF5U31Z81cvXr/H1bJY29/VWqnrq/55kuRx&#13;&#10;AiJSH/8bZ8RSKxjB6U/6AnJ2BAAA//8DAFBLAQItABQABgAIAAAAIQDb4fbL7gAAAIUBAAATAAAA&#13;&#10;AAAAAAAAAAAAAAAAAABbQ29udGVudF9UeXBlc10ueG1sUEsBAi0AFAAGAAgAAAAhAFr0LFu/AAAA&#13;&#10;FQEAAAsAAAAAAAAAAAAAAAAAHwEAAF9yZWxzLy5yZWxzUEsBAi0AFAAGAAgAAAAhANuE/OvKAAAA&#13;&#10;3wAAAA8AAAAAAAAAAAAAAAAABwIAAGRycy9kb3ducmV2LnhtbFBLBQYAAAAAAwADALcAAAD+AgAA&#13;&#10;AAA=&#13;&#10;" filled="f" stroked="f">
                  <v:textbox inset="2.53958mm,2.53958mm,2.53958mm,2.53958mm">
                    <w:txbxContent>
                      <w:p w14:paraId="6EBDFE5E" w14:textId="08155D45" w:rsidR="00E61D81" w:rsidRDefault="009F55C3">
                        <w:pPr>
                          <w:textDirection w:val="btLr"/>
                          <w:rPr>
                            <w:b/>
                            <w:color w:val="000000"/>
                            <w:sz w:val="20"/>
                            <w:szCs w:val="20"/>
                          </w:rPr>
                        </w:pPr>
                        <w:r w:rsidRPr="003F5697">
                          <w:rPr>
                            <w:b/>
                            <w:color w:val="000000"/>
                            <w:sz w:val="20"/>
                            <w:szCs w:val="20"/>
                          </w:rPr>
                          <w:t xml:space="preserve">Fig </w:t>
                        </w:r>
                        <w:r w:rsidR="003F5697">
                          <w:rPr>
                            <w:b/>
                            <w:color w:val="000000"/>
                            <w:sz w:val="20"/>
                            <w:szCs w:val="20"/>
                          </w:rPr>
                          <w:t>4</w:t>
                        </w:r>
                        <w:r w:rsidRPr="003F5697">
                          <w:rPr>
                            <w:b/>
                            <w:color w:val="000000"/>
                            <w:sz w:val="20"/>
                            <w:szCs w:val="20"/>
                          </w:rPr>
                          <w:t>: Bacterial transformation</w:t>
                        </w:r>
                      </w:p>
                      <w:p w14:paraId="36A7D7D0" w14:textId="77777777" w:rsidR="005F3EAA" w:rsidRPr="003F5697" w:rsidRDefault="005F3EAA">
                        <w:pPr>
                          <w:textDirection w:val="btLr"/>
                          <w:rPr>
                            <w:sz w:val="20"/>
                            <w:szCs w:val="20"/>
                          </w:rPr>
                        </w:pPr>
                      </w:p>
                    </w:txbxContent>
                  </v:textbox>
                </v:shape>
                <w10:wrap type="square"/>
              </v:group>
            </w:pict>
          </mc:Fallback>
        </mc:AlternateContent>
      </w:r>
      <w:r w:rsidR="009F55C3">
        <w:t>Y</w:t>
      </w:r>
      <w:r w:rsidR="000979CD">
        <w:t>e</w:t>
      </w:r>
      <w:r w:rsidR="009F55C3">
        <w:t>h et al (2018)</w:t>
      </w:r>
      <w:r w:rsidR="000979CD">
        <w:rPr>
          <w:vertAlign w:val="superscript"/>
        </w:rPr>
        <w:t>3</w:t>
      </w:r>
      <w:r w:rsidR="009F55C3">
        <w:t xml:space="preserve"> created a TGF-β plasmid (Fig </w:t>
      </w:r>
      <w:r w:rsidR="00F0584F">
        <w:t>3</w:t>
      </w:r>
      <w:r w:rsidR="009F55C3">
        <w:t xml:space="preserve">), this plasmid can be ordered from Add gene. In order to get multiple copies of TGF-β, the plasmid first needs to be introduced into E. coli, this will be done through a process called transformation.  During this process the TGF-β plasmids are mixed into E. coli. This mixture is then given a heat shock, not all of the </w:t>
      </w:r>
      <w:r w:rsidR="00C26006">
        <w:t>E. coli</w:t>
      </w:r>
      <w:r w:rsidR="009F55C3">
        <w:t xml:space="preserve"> will take up a plasmid</w:t>
      </w:r>
      <w:r w:rsidR="00F0584F">
        <w:t xml:space="preserve"> (Fig 4)</w:t>
      </w:r>
      <w:r w:rsidR="009F55C3">
        <w:t xml:space="preserve">. In order to see which </w:t>
      </w:r>
      <w:r w:rsidR="00C26006">
        <w:t>E. coli</w:t>
      </w:r>
      <w:r w:rsidR="009F55C3">
        <w:t xml:space="preserve"> takes up a plasmid, the mixture is put onto an antibiotic plate. All plasmids contain an antibiotic resistance gene, making it so that </w:t>
      </w:r>
      <w:r w:rsidR="00C26006">
        <w:t>E. coli</w:t>
      </w:r>
      <w:r w:rsidR="009F55C3">
        <w:t xml:space="preserve"> without a plasmid will not survive. </w:t>
      </w:r>
      <w:r w:rsidR="009F55C3">
        <w:rPr>
          <w:noProof/>
        </w:rPr>
        <w:drawing>
          <wp:anchor distT="114300" distB="114300" distL="114300" distR="114300" simplePos="0" relativeHeight="251660288" behindDoc="0" locked="0" layoutInCell="1" hidden="0" allowOverlap="1" wp14:anchorId="2433FDEA" wp14:editId="6CA6C059">
            <wp:simplePos x="0" y="0"/>
            <wp:positionH relativeFrom="column">
              <wp:posOffset>3609975</wp:posOffset>
            </wp:positionH>
            <wp:positionV relativeFrom="paragraph">
              <wp:posOffset>314325</wp:posOffset>
            </wp:positionV>
            <wp:extent cx="3209925" cy="1276044"/>
            <wp:effectExtent l="0" t="0" r="0" b="0"/>
            <wp:wrapSquare wrapText="bothSides" distT="114300" distB="114300" distL="114300" distR="11430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209925" cy="1276044"/>
                    </a:xfrm>
                    <a:prstGeom prst="rect">
                      <a:avLst/>
                    </a:prstGeom>
                    <a:ln/>
                  </pic:spPr>
                </pic:pic>
              </a:graphicData>
            </a:graphic>
          </wp:anchor>
        </w:drawing>
      </w:r>
    </w:p>
    <w:p w14:paraId="364C757E" w14:textId="4165935F" w:rsidR="00E61D81" w:rsidRDefault="00E61D81"/>
    <w:p w14:paraId="2E44223D" w14:textId="2F3F90A6" w:rsidR="00E61D81" w:rsidRDefault="009F55C3">
      <w:pPr>
        <w:rPr>
          <w:u w:val="single"/>
        </w:rPr>
      </w:pPr>
      <w:r>
        <w:t>II.</w:t>
      </w:r>
      <w:r w:rsidR="00AC3C6B">
        <w:t xml:space="preserve"> B</w:t>
      </w:r>
      <w:r>
        <w:t xml:space="preserve"> </w:t>
      </w:r>
      <w:r>
        <w:rPr>
          <w:u w:val="single"/>
        </w:rPr>
        <w:t>Polymerase chain reaction</w:t>
      </w:r>
    </w:p>
    <w:p w14:paraId="06E2523C" w14:textId="23D5AB91" w:rsidR="00E61D81" w:rsidRDefault="003301F5">
      <w:r>
        <w:rPr>
          <w:noProof/>
        </w:rPr>
        <w:drawing>
          <wp:anchor distT="114300" distB="114300" distL="114300" distR="114300" simplePos="0" relativeHeight="251662336" behindDoc="0" locked="0" layoutInCell="1" hidden="0" allowOverlap="1" wp14:anchorId="3A80116B" wp14:editId="7627D432">
            <wp:simplePos x="0" y="0"/>
            <wp:positionH relativeFrom="column">
              <wp:posOffset>3615748</wp:posOffset>
            </wp:positionH>
            <wp:positionV relativeFrom="paragraph">
              <wp:posOffset>44970</wp:posOffset>
            </wp:positionV>
            <wp:extent cx="3128645" cy="1487170"/>
            <wp:effectExtent l="0" t="0" r="0" b="0"/>
            <wp:wrapSquare wrapText="bothSides" distT="114300" distB="114300" distL="114300" distR="11430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3128645" cy="1487170"/>
                    </a:xfrm>
                    <a:prstGeom prst="rect">
                      <a:avLst/>
                    </a:prstGeom>
                    <a:ln/>
                  </pic:spPr>
                </pic:pic>
              </a:graphicData>
            </a:graphic>
            <wp14:sizeRelH relativeFrom="margin">
              <wp14:pctWidth>0</wp14:pctWidth>
            </wp14:sizeRelH>
            <wp14:sizeRelV relativeFrom="margin">
              <wp14:pctHeight>0</wp14:pctHeight>
            </wp14:sizeRelV>
          </wp:anchor>
        </w:drawing>
      </w:r>
      <w:r w:rsidR="009F55C3">
        <w:t>Polymerase chain reaction (PCR) is a process where the DNA sequence of interest is amplified to make millions of copies</w:t>
      </w:r>
      <w:r w:rsidR="0036695C">
        <w:rPr>
          <w:vertAlign w:val="superscript"/>
        </w:rPr>
        <w:t>5</w:t>
      </w:r>
      <w:r w:rsidR="009F55C3">
        <w:t xml:space="preserve">. Three steps </w:t>
      </w:r>
      <w:r w:rsidR="00C26006">
        <w:t>need to</w:t>
      </w:r>
      <w:r w:rsidR="009F55C3">
        <w:t xml:space="preserve"> be repeated multiple times to get millions of copies of TGF-β</w:t>
      </w:r>
      <w:r w:rsidR="00F0584F">
        <w:t xml:space="preserve"> (Fig 5)</w:t>
      </w:r>
      <w:r w:rsidR="009F55C3">
        <w:t xml:space="preserve">. </w:t>
      </w:r>
    </w:p>
    <w:p w14:paraId="337973A2" w14:textId="43759BEB" w:rsidR="00E61D81" w:rsidRDefault="00E61D81"/>
    <w:p w14:paraId="5555CB4B" w14:textId="0088A0FE" w:rsidR="00E61D81" w:rsidRDefault="009F55C3">
      <w:r>
        <w:t xml:space="preserve">Step 1 </w:t>
      </w:r>
      <w:r w:rsidR="00C26006">
        <w:t>Denaturation: The</w:t>
      </w:r>
      <w:r>
        <w:t xml:space="preserve"> two strands in DNA are separated by increasing the temperature of the mixture, breaking the hydrogen bonds between the two strands. </w:t>
      </w:r>
    </w:p>
    <w:p w14:paraId="5764D3FC" w14:textId="47338494" w:rsidR="00E61D81" w:rsidRDefault="003301F5">
      <w:r>
        <w:rPr>
          <w:noProof/>
        </w:rPr>
        <mc:AlternateContent>
          <mc:Choice Requires="wps">
            <w:drawing>
              <wp:anchor distT="114300" distB="114300" distL="114300" distR="114300" simplePos="0" relativeHeight="251663360" behindDoc="1" locked="0" layoutInCell="1" hidden="0" allowOverlap="1" wp14:anchorId="682A0C57" wp14:editId="1843BEA9">
                <wp:simplePos x="0" y="0"/>
                <wp:positionH relativeFrom="column">
                  <wp:posOffset>3666490</wp:posOffset>
                </wp:positionH>
                <wp:positionV relativeFrom="paragraph">
                  <wp:posOffset>15240</wp:posOffset>
                </wp:positionV>
                <wp:extent cx="2981960" cy="535305"/>
                <wp:effectExtent l="0" t="0" r="0" b="0"/>
                <wp:wrapTight wrapText="bothSides">
                  <wp:wrapPolygon edited="0">
                    <wp:start x="460" y="2562"/>
                    <wp:lineTo x="460" y="18448"/>
                    <wp:lineTo x="21066" y="18448"/>
                    <wp:lineTo x="21066" y="2562"/>
                    <wp:lineTo x="460" y="2562"/>
                  </wp:wrapPolygon>
                </wp:wrapTight>
                <wp:docPr id="5" name="Text Box 5"/>
                <wp:cNvGraphicFramePr/>
                <a:graphic xmlns:a="http://schemas.openxmlformats.org/drawingml/2006/main">
                  <a:graphicData uri="http://schemas.microsoft.com/office/word/2010/wordprocessingShape">
                    <wps:wsp>
                      <wps:cNvSpPr txBox="1"/>
                      <wps:spPr>
                        <a:xfrm>
                          <a:off x="0" y="0"/>
                          <a:ext cx="2981960" cy="535305"/>
                        </a:xfrm>
                        <a:prstGeom prst="rect">
                          <a:avLst/>
                        </a:prstGeom>
                        <a:noFill/>
                        <a:ln>
                          <a:noFill/>
                        </a:ln>
                      </wps:spPr>
                      <wps:txbx>
                        <w:txbxContent>
                          <w:p w14:paraId="332CB757" w14:textId="14C7C9DC" w:rsidR="00E61D81" w:rsidRDefault="009F55C3">
                            <w:pPr>
                              <w:textDirection w:val="btLr"/>
                              <w:rPr>
                                <w:b/>
                                <w:bCs/>
                                <w:color w:val="000000"/>
                                <w:sz w:val="20"/>
                                <w:szCs w:val="20"/>
                              </w:rPr>
                            </w:pPr>
                            <w:r w:rsidRPr="003F5697">
                              <w:rPr>
                                <w:b/>
                                <w:bCs/>
                                <w:color w:val="000000"/>
                                <w:sz w:val="20"/>
                                <w:szCs w:val="20"/>
                              </w:rPr>
                              <w:t>Fig.</w:t>
                            </w:r>
                            <w:r w:rsidR="003F5697" w:rsidRPr="003F5697">
                              <w:rPr>
                                <w:b/>
                                <w:bCs/>
                                <w:color w:val="000000"/>
                                <w:sz w:val="20"/>
                                <w:szCs w:val="20"/>
                              </w:rPr>
                              <w:t>5</w:t>
                            </w:r>
                            <w:r w:rsidRPr="003F5697">
                              <w:rPr>
                                <w:b/>
                                <w:bCs/>
                                <w:color w:val="000000"/>
                                <w:sz w:val="20"/>
                                <w:szCs w:val="20"/>
                              </w:rPr>
                              <w:t xml:space="preserve"> Polymerase chain reaction</w:t>
                            </w:r>
                          </w:p>
                          <w:p w14:paraId="4F97B292" w14:textId="599A1B47" w:rsidR="003A153A" w:rsidRPr="005F3EAA" w:rsidRDefault="003A153A">
                            <w:pPr>
                              <w:textDirection w:val="btLr"/>
                              <w:rPr>
                                <w:sz w:val="20"/>
                                <w:szCs w:val="20"/>
                              </w:rPr>
                            </w:pPr>
                            <w:r w:rsidRPr="005F3EAA">
                              <w:rPr>
                                <w:color w:val="000000"/>
                                <w:sz w:val="20"/>
                                <w:szCs w:val="20"/>
                              </w:rPr>
                              <w:t>Figure obtained from Ther</w:t>
                            </w:r>
                            <w:r w:rsidR="005F3EAA" w:rsidRPr="005F3EAA">
                              <w:rPr>
                                <w:color w:val="000000"/>
                                <w:sz w:val="20"/>
                                <w:szCs w:val="20"/>
                              </w:rPr>
                              <w:t>mo Fisher Scientific</w:t>
                            </w:r>
                          </w:p>
                          <w:p w14:paraId="66DBD5C9" w14:textId="77777777" w:rsidR="003F5697" w:rsidRDefault="003F5697"/>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682A0C57" id="Text Box 5" o:spid="_x0000_s1032" type="#_x0000_t202" style="position:absolute;margin-left:288.7pt;margin-top:1.2pt;width:234.8pt;height:42.15pt;z-index:-251653120;visibility:visible;mso-wrap-style:square;mso-width-percent:0;mso-height-percent:0;mso-wrap-distance-left:9pt;mso-wrap-distance-top:9pt;mso-wrap-distance-right:9pt;mso-wrap-distance-bottom:9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jIuxwEAAIQDAAAOAAAAZHJzL2Uyb0RvYy54bWysU8tu2zAQvBfoPxC815KcOogFy0HbwEWB&#13;&#10;oA2Q5ANoirQIiFyWXFvy33dJK47T3oJeaO7Dw5nZ1ep2tD07qBANuIZXs5Iz5SS0xu0a/vy0+XTD&#13;&#10;WUThWtGDUw0/qshv1x8/rAZfqzl00LcqMAJxsR58wztEXxdFlJ2yIs7AK0dFDcEKpDDsijaIgdBt&#13;&#10;X8zL8roYILQ+gFQxUvbuVOTrjK+1kvhL66iQ9Q0nbpjPkM9tOov1StS7IHxn5ERDvIOFFcbRo2eo&#13;&#10;O4GC7YP5B8oaGSCCxpkEW4DWRqqsgdRU5V9qHjvhVdZC5kR/tin+P1j58/AQmGkbvuDMCUsjelIj&#13;&#10;sq8wskVyZ/CxpqZHT204Upqm/JKPlEyiRx1s+iU5jOrk8/HsbQKTlJwvb6rlNZUk1RZXi6sywxev&#13;&#10;//Yh4ncFlqVLwwPNLlsqDvcRiQm1vrSkxxxsTN/n+fXuTYIaU6ZI1E8U0w3H7TgJnWRtoT2Squjl&#13;&#10;xtCT9yLigwg0/oqzgVai4fH3XgTFWf/DkefL6vOcXMLLIFwG28tAONkBbRpydrp+w7x3J6pf9gja&#13;&#10;ZFmJ3InKxJlGndVOa5l26TLOXa8fz/oPAAAA//8DAFBLAwQUAAYACAAAACEAC6igV+cAAAAOAQAA&#13;&#10;DwAAAGRycy9kb3ducmV2LnhtbEyPQU/DMAyF70j8h8hIXBBLmUY7uqYTAoHQpAlREIJb1rhNoElK&#13;&#10;k22FX493gost69nP7yuWo+3YDodgvBNwMUmAoau9Mq4V8PJ8dz4HFqJ0SnbeoYBvDLAsj48KmSu/&#13;&#10;d0+4q2LLyMSFXArQMfY556HWaGWY+B4daY0frIw0Di1Xg9yTue34NElSbqVx9EHLHm801p/V1gq4&#13;&#10;en07a96N/mnvHz/S5qFam6/VWojTk/F2QeV6ASziGP8u4MBA+aGkYBu/dSqwTsBlls1oVcCU2kFP&#13;&#10;ZhkRbgTM0wx4WfD/GOUvAAAA//8DAFBLAQItABQABgAIAAAAIQC2gziS/gAAAOEBAAATAAAAAAAA&#13;&#10;AAAAAAAAAAAAAABbQ29udGVudF9UeXBlc10ueG1sUEsBAi0AFAAGAAgAAAAhADj9If/WAAAAlAEA&#13;&#10;AAsAAAAAAAAAAAAAAAAALwEAAF9yZWxzLy5yZWxzUEsBAi0AFAAGAAgAAAAhAD/SMi7HAQAAhAMA&#13;&#10;AA4AAAAAAAAAAAAAAAAALgIAAGRycy9lMm9Eb2MueG1sUEsBAi0AFAAGAAgAAAAhAAuooFfnAAAA&#13;&#10;DgEAAA8AAAAAAAAAAAAAAAAAIQQAAGRycy9kb3ducmV2LnhtbFBLBQYAAAAABAAEAPMAAAA1BQAA&#13;&#10;AAA=&#13;&#10;" filled="f" stroked="f">
                <v:textbox inset="2.53958mm,2.53958mm,2.53958mm,2.53958mm">
                  <w:txbxContent>
                    <w:p w14:paraId="332CB757" w14:textId="14C7C9DC" w:rsidR="00E61D81" w:rsidRDefault="009F55C3">
                      <w:pPr>
                        <w:textDirection w:val="btLr"/>
                        <w:rPr>
                          <w:b/>
                          <w:bCs/>
                          <w:color w:val="000000"/>
                          <w:sz w:val="20"/>
                          <w:szCs w:val="20"/>
                        </w:rPr>
                      </w:pPr>
                      <w:r w:rsidRPr="003F5697">
                        <w:rPr>
                          <w:b/>
                          <w:bCs/>
                          <w:color w:val="000000"/>
                          <w:sz w:val="20"/>
                          <w:szCs w:val="20"/>
                        </w:rPr>
                        <w:t>Fig.</w:t>
                      </w:r>
                      <w:r w:rsidR="003F5697" w:rsidRPr="003F5697">
                        <w:rPr>
                          <w:b/>
                          <w:bCs/>
                          <w:color w:val="000000"/>
                          <w:sz w:val="20"/>
                          <w:szCs w:val="20"/>
                        </w:rPr>
                        <w:t>5</w:t>
                      </w:r>
                      <w:r w:rsidRPr="003F5697">
                        <w:rPr>
                          <w:b/>
                          <w:bCs/>
                          <w:color w:val="000000"/>
                          <w:sz w:val="20"/>
                          <w:szCs w:val="20"/>
                        </w:rPr>
                        <w:t xml:space="preserve"> Polymerase chain reaction</w:t>
                      </w:r>
                    </w:p>
                    <w:p w14:paraId="4F97B292" w14:textId="599A1B47" w:rsidR="003A153A" w:rsidRPr="005F3EAA" w:rsidRDefault="003A153A">
                      <w:pPr>
                        <w:textDirection w:val="btLr"/>
                        <w:rPr>
                          <w:sz w:val="20"/>
                          <w:szCs w:val="20"/>
                        </w:rPr>
                      </w:pPr>
                      <w:r w:rsidRPr="005F3EAA">
                        <w:rPr>
                          <w:color w:val="000000"/>
                          <w:sz w:val="20"/>
                          <w:szCs w:val="20"/>
                        </w:rPr>
                        <w:t>Figure obtained from Ther</w:t>
                      </w:r>
                      <w:r w:rsidR="005F3EAA" w:rsidRPr="005F3EAA">
                        <w:rPr>
                          <w:color w:val="000000"/>
                          <w:sz w:val="20"/>
                          <w:szCs w:val="20"/>
                        </w:rPr>
                        <w:t>mo Fisher Scientific</w:t>
                      </w:r>
                    </w:p>
                    <w:p w14:paraId="66DBD5C9" w14:textId="77777777" w:rsidR="003F5697" w:rsidRDefault="003F5697"/>
                  </w:txbxContent>
                </v:textbox>
                <w10:wrap type="tight"/>
              </v:shape>
            </w:pict>
          </mc:Fallback>
        </mc:AlternateContent>
      </w:r>
    </w:p>
    <w:p w14:paraId="52255F49" w14:textId="11A6A7C7" w:rsidR="00E61D81" w:rsidRDefault="009F55C3">
      <w:r>
        <w:t xml:space="preserve">Step 2 Annealing: Primers attach to each </w:t>
      </w:r>
      <w:r w:rsidR="00F93D64">
        <w:t>strand;</w:t>
      </w:r>
      <w:r>
        <w:t xml:space="preserve"> this happens when the temperature is lowered. </w:t>
      </w:r>
    </w:p>
    <w:p w14:paraId="7EC54D35" w14:textId="6C0C68AB" w:rsidR="00E61D81" w:rsidRDefault="00E61D81"/>
    <w:p w14:paraId="722FD45A" w14:textId="331859CA" w:rsidR="00E61D81" w:rsidRDefault="00B66594">
      <w:r>
        <w:rPr>
          <w:noProof/>
        </w:rPr>
        <w:drawing>
          <wp:anchor distT="114300" distB="114300" distL="114300" distR="114300" simplePos="0" relativeHeight="251664384" behindDoc="0" locked="0" layoutInCell="1" hidden="0" allowOverlap="1" wp14:anchorId="14AEF7B9" wp14:editId="3FCFFE39">
            <wp:simplePos x="0" y="0"/>
            <wp:positionH relativeFrom="column">
              <wp:posOffset>4011132</wp:posOffset>
            </wp:positionH>
            <wp:positionV relativeFrom="paragraph">
              <wp:posOffset>170756</wp:posOffset>
            </wp:positionV>
            <wp:extent cx="2569845" cy="1477645"/>
            <wp:effectExtent l="0" t="0" r="0" b="0"/>
            <wp:wrapSquare wrapText="bothSides" distT="114300" distB="114300" distL="114300" distR="11430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2569845" cy="1477645"/>
                    </a:xfrm>
                    <a:prstGeom prst="rect">
                      <a:avLst/>
                    </a:prstGeom>
                    <a:ln/>
                  </pic:spPr>
                </pic:pic>
              </a:graphicData>
            </a:graphic>
            <wp14:sizeRelH relativeFrom="margin">
              <wp14:pctWidth>0</wp14:pctWidth>
            </wp14:sizeRelH>
            <wp14:sizeRelV relativeFrom="margin">
              <wp14:pctHeight>0</wp14:pctHeight>
            </wp14:sizeRelV>
          </wp:anchor>
        </w:drawing>
      </w:r>
      <w:r w:rsidR="009F55C3">
        <w:t>Step 3 Extension: New strands of DNA are made by DNA polymerase</w:t>
      </w:r>
      <w:r w:rsidR="00F93D64">
        <w:t>.</w:t>
      </w:r>
    </w:p>
    <w:p w14:paraId="2FF26254" w14:textId="69B333C1" w:rsidR="00E61D81" w:rsidRDefault="00E61D81"/>
    <w:p w14:paraId="00B2FE12" w14:textId="7D7D4DCA" w:rsidR="00E61D81" w:rsidRDefault="00E61D81"/>
    <w:p w14:paraId="6DC9ABF0" w14:textId="06870B88" w:rsidR="00E61D81" w:rsidRDefault="009F55C3">
      <w:pPr>
        <w:rPr>
          <w:u w:val="single"/>
        </w:rPr>
      </w:pPr>
      <w:r>
        <w:t>II.</w:t>
      </w:r>
      <w:r w:rsidR="00AC3C6B">
        <w:t>C</w:t>
      </w:r>
      <w:r>
        <w:t xml:space="preserve"> </w:t>
      </w:r>
      <w:r>
        <w:rPr>
          <w:u w:val="single"/>
        </w:rPr>
        <w:t>Tet-On Doxycycline inducible system</w:t>
      </w:r>
    </w:p>
    <w:p w14:paraId="6CD60741" w14:textId="0A805C1E" w:rsidR="00E61D81" w:rsidRDefault="00A776FE">
      <w:r>
        <w:rPr>
          <w:noProof/>
        </w:rPr>
        <mc:AlternateContent>
          <mc:Choice Requires="wps">
            <w:drawing>
              <wp:anchor distT="114300" distB="114300" distL="114300" distR="114300" simplePos="0" relativeHeight="251665408" behindDoc="1" locked="0" layoutInCell="1" hidden="0" allowOverlap="1" wp14:anchorId="2FD2059F" wp14:editId="5EF12644">
                <wp:simplePos x="0" y="0"/>
                <wp:positionH relativeFrom="column">
                  <wp:posOffset>3030929</wp:posOffset>
                </wp:positionH>
                <wp:positionV relativeFrom="paragraph">
                  <wp:posOffset>717506</wp:posOffset>
                </wp:positionV>
                <wp:extent cx="3827145" cy="1551305"/>
                <wp:effectExtent l="0" t="0" r="0" b="0"/>
                <wp:wrapTight wrapText="bothSides">
                  <wp:wrapPolygon edited="0">
                    <wp:start x="358" y="884"/>
                    <wp:lineTo x="358" y="20512"/>
                    <wp:lineTo x="21217" y="20512"/>
                    <wp:lineTo x="21217" y="884"/>
                    <wp:lineTo x="358" y="884"/>
                  </wp:wrapPolygon>
                </wp:wrapTight>
                <wp:docPr id="9" name="Text Box 9"/>
                <wp:cNvGraphicFramePr/>
                <a:graphic xmlns:a="http://schemas.openxmlformats.org/drawingml/2006/main">
                  <a:graphicData uri="http://schemas.microsoft.com/office/word/2010/wordprocessingShape">
                    <wps:wsp>
                      <wps:cNvSpPr txBox="1"/>
                      <wps:spPr>
                        <a:xfrm>
                          <a:off x="0" y="0"/>
                          <a:ext cx="3827145" cy="1551305"/>
                        </a:xfrm>
                        <a:prstGeom prst="rect">
                          <a:avLst/>
                        </a:prstGeom>
                        <a:noFill/>
                        <a:ln>
                          <a:noFill/>
                        </a:ln>
                      </wps:spPr>
                      <wps:txbx>
                        <w:txbxContent>
                          <w:p w14:paraId="0315481E" w14:textId="0FC7F74F" w:rsidR="00E61D81" w:rsidRPr="003F5697" w:rsidRDefault="009F55C3">
                            <w:pPr>
                              <w:textDirection w:val="btLr"/>
                              <w:rPr>
                                <w:sz w:val="20"/>
                                <w:szCs w:val="20"/>
                              </w:rPr>
                            </w:pPr>
                            <w:r w:rsidRPr="003F5697">
                              <w:rPr>
                                <w:b/>
                                <w:color w:val="000000"/>
                                <w:sz w:val="20"/>
                                <w:szCs w:val="20"/>
                              </w:rPr>
                              <w:t xml:space="preserve">Fig </w:t>
                            </w:r>
                            <w:r w:rsidR="003F5697">
                              <w:rPr>
                                <w:b/>
                                <w:color w:val="000000"/>
                                <w:sz w:val="20"/>
                                <w:szCs w:val="20"/>
                              </w:rPr>
                              <w:t>6</w:t>
                            </w:r>
                            <w:r w:rsidRPr="003F5697">
                              <w:rPr>
                                <w:b/>
                                <w:color w:val="000000"/>
                                <w:sz w:val="20"/>
                                <w:szCs w:val="20"/>
                              </w:rPr>
                              <w:t>: Tet-On system</w:t>
                            </w:r>
                          </w:p>
                          <w:p w14:paraId="627C6B3B" w14:textId="0203BD84" w:rsidR="00E61D81" w:rsidRPr="003F5697" w:rsidRDefault="009F55C3">
                            <w:pPr>
                              <w:textDirection w:val="btLr"/>
                              <w:rPr>
                                <w:sz w:val="20"/>
                                <w:szCs w:val="20"/>
                              </w:rPr>
                            </w:pPr>
                            <w:r w:rsidRPr="003F5697">
                              <w:rPr>
                                <w:color w:val="000000"/>
                                <w:sz w:val="20"/>
                                <w:szCs w:val="20"/>
                              </w:rPr>
                              <w:t>In the Tet-On system, doxycycline (dox), a tetracycline derivative</w:t>
                            </w:r>
                            <w:r w:rsidR="00C26006" w:rsidRPr="003F5697">
                              <w:rPr>
                                <w:color w:val="000000"/>
                                <w:sz w:val="20"/>
                                <w:szCs w:val="20"/>
                              </w:rPr>
                              <w:t>,</w:t>
                            </w:r>
                            <w:r w:rsidRPr="003F5697">
                              <w:rPr>
                                <w:color w:val="000000"/>
                                <w:sz w:val="20"/>
                                <w:szCs w:val="20"/>
                              </w:rPr>
                              <w:t xml:space="preserve"> binds to the reverse tetracycline </w:t>
                            </w:r>
                            <w:proofErr w:type="spellStart"/>
                            <w:r w:rsidRPr="003F5697">
                              <w:rPr>
                                <w:color w:val="000000"/>
                                <w:sz w:val="20"/>
                                <w:szCs w:val="20"/>
                              </w:rPr>
                              <w:t>transactivator</w:t>
                            </w:r>
                            <w:proofErr w:type="spellEnd"/>
                            <w:r w:rsidRPr="003F5697">
                              <w:rPr>
                                <w:color w:val="000000"/>
                                <w:sz w:val="20"/>
                                <w:szCs w:val="20"/>
                              </w:rPr>
                              <w:t xml:space="preserve"> (</w:t>
                            </w:r>
                            <w:proofErr w:type="spellStart"/>
                            <w:r w:rsidRPr="003F5697">
                              <w:rPr>
                                <w:color w:val="000000"/>
                                <w:sz w:val="20"/>
                                <w:szCs w:val="20"/>
                              </w:rPr>
                              <w:t>rtTA</w:t>
                            </w:r>
                            <w:proofErr w:type="spellEnd"/>
                            <w:r w:rsidRPr="003F5697">
                              <w:rPr>
                                <w:color w:val="000000"/>
                                <w:sz w:val="20"/>
                                <w:szCs w:val="20"/>
                              </w:rPr>
                              <w:t xml:space="preserve">) at the tetracycline response element (TRE). reverse tetracycline </w:t>
                            </w:r>
                            <w:proofErr w:type="spellStart"/>
                            <w:r w:rsidRPr="003F5697">
                              <w:rPr>
                                <w:color w:val="000000"/>
                                <w:sz w:val="20"/>
                                <w:szCs w:val="20"/>
                              </w:rPr>
                              <w:t>transactivator</w:t>
                            </w:r>
                            <w:proofErr w:type="spellEnd"/>
                            <w:r w:rsidRPr="003F5697">
                              <w:rPr>
                                <w:color w:val="000000"/>
                                <w:sz w:val="20"/>
                                <w:szCs w:val="20"/>
                              </w:rPr>
                              <w:t xml:space="preserve"> (</w:t>
                            </w:r>
                            <w:proofErr w:type="spellStart"/>
                            <w:r w:rsidRPr="003F5697">
                              <w:rPr>
                                <w:color w:val="000000"/>
                                <w:sz w:val="20"/>
                                <w:szCs w:val="20"/>
                              </w:rPr>
                              <w:t>rtTA</w:t>
                            </w:r>
                            <w:proofErr w:type="spellEnd"/>
                            <w:r w:rsidRPr="003F5697">
                              <w:rPr>
                                <w:color w:val="000000"/>
                                <w:sz w:val="20"/>
                                <w:szCs w:val="20"/>
                              </w:rPr>
                              <w:t xml:space="preserve">) is a transcription factor that binds to the promoter region. When doxycycline binds to the </w:t>
                            </w:r>
                            <w:proofErr w:type="spellStart"/>
                            <w:r w:rsidRPr="003F5697">
                              <w:rPr>
                                <w:color w:val="000000"/>
                                <w:sz w:val="20"/>
                                <w:szCs w:val="20"/>
                              </w:rPr>
                              <w:t>rtTA</w:t>
                            </w:r>
                            <w:proofErr w:type="spellEnd"/>
                            <w:r w:rsidRPr="003F5697">
                              <w:rPr>
                                <w:color w:val="000000"/>
                                <w:sz w:val="20"/>
                                <w:szCs w:val="20"/>
                              </w:rPr>
                              <w:t xml:space="preserve">, DNA is </w:t>
                            </w:r>
                            <w:proofErr w:type="spellStart"/>
                            <w:r w:rsidRPr="003F5697">
                              <w:rPr>
                                <w:color w:val="000000"/>
                                <w:sz w:val="20"/>
                                <w:szCs w:val="20"/>
                              </w:rPr>
                              <w:t>binded</w:t>
                            </w:r>
                            <w:proofErr w:type="spellEnd"/>
                            <w:r w:rsidRPr="003F5697">
                              <w:rPr>
                                <w:color w:val="000000"/>
                                <w:sz w:val="20"/>
                                <w:szCs w:val="20"/>
                              </w:rPr>
                              <w:t xml:space="preserve"> at the promoter. This allows for the gene of interest (G.O.I) to be expressed, HIV-1. Figure obtained from reference </w:t>
                            </w:r>
                            <w:r w:rsidR="008F52D9">
                              <w:rPr>
                                <w:color w:val="000000"/>
                                <w:sz w:val="20"/>
                                <w:szCs w:val="20"/>
                              </w:rPr>
                              <w:t>4</w:t>
                            </w:r>
                            <w:r w:rsidRPr="003F5697">
                              <w:rPr>
                                <w:color w:val="000000"/>
                                <w:sz w:val="20"/>
                                <w:szCs w:val="20"/>
                              </w:rPr>
                              <w:t>.</w:t>
                            </w:r>
                          </w:p>
                          <w:p w14:paraId="5A2AA973" w14:textId="77777777" w:rsidR="00E61D81" w:rsidRDefault="00E61D81">
                            <w:pPr>
                              <w:textDirection w:val="btLr"/>
                            </w:pPr>
                          </w:p>
                          <w:p w14:paraId="31B38AA7" w14:textId="77777777" w:rsidR="00E61D81" w:rsidRDefault="00E61D81">
                            <w:pPr>
                              <w:textDirection w:val="btLr"/>
                            </w:pPr>
                          </w:p>
                          <w:p w14:paraId="4FDAF565" w14:textId="77777777" w:rsidR="00E61D81" w:rsidRDefault="00E61D81">
                            <w:pPr>
                              <w:textDirection w:val="btLr"/>
                            </w:pP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2FD2059F" id="Text Box 9" o:spid="_x0000_s1033" type="#_x0000_t202" style="position:absolute;margin-left:238.65pt;margin-top:56.5pt;width:301.35pt;height:122.15pt;z-index:-251651072;visibility:visible;mso-wrap-style:square;mso-width-percent:0;mso-height-percent:0;mso-wrap-distance-left:9pt;mso-wrap-distance-top:9pt;mso-wrap-distance-right:9pt;mso-wrap-distance-bottom:9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ATnoyQEAAIUDAAAOAAAAZHJzL2Uyb0RvYy54bWysU11v2jAUfZ+0/2D5fYTQ0pWIUG2rmCZV&#13;&#10;a6V2P8A4NrEU+3q+hoR/v2sHKFvfqr0Y3w+Ozzn3Znk32I7tVUADrublZMqZchIa47Y1//Wy/nTL&#13;&#10;GUbhGtGBUzU/KOR3q48flr2v1Axa6BoVGIE4rHpf8zZGXxUFylZZgRPwylFRQ7AiUhi2RRNET+i2&#13;&#10;K2bT6U3RQ2h8AKkQKXs/Fvkq42utZHzUGlVkXc2JW8xnyOcmncVqKaptEL418khDvIOFFcbRo2eo&#13;&#10;exEF2wXzBsoaGQBBx4kEW4DWRqqsgdSU03/UPLfCq6yFzEF/tgn/H6z8uX8KzDQ1X3DmhKURvagh&#13;&#10;sq8wsEVyp/dYUdOzp7Y4UJqmfMojJZPoQQebfkkOozr5fDh7m8AkJa9uZ5/L6zlnkmrlfF5eTecJ&#13;&#10;p3j9uw8YvyuwLF1qHmh42VOxf8A4tp5a0msO1qbr8gA791eCMFOmSNxHjukWh82Qld6c+G+gOZAs&#13;&#10;9HJt6MkHgfFJBJp/yVlPO1Fz/L0TQXHW/XBk+qK8npGCeBmEy2BzGQgnW6BVi5yN128xL95I9csu&#13;&#10;gjZZViI3UjlypllnY457mZbpMs5dr1/P6g8AAAD//wMAUEsDBBQABgAIAAAAIQDXfDcN5wAAABEB&#13;&#10;AAAPAAAAZHJzL2Rvd25yZXYueG1sTE/fS8MwEH4X/B/CCb6IS2Z1m13TIYoiwpBVEX3LmrSNNpfa&#13;&#10;ZFv1r/f25F6OO77vvh/ZYnAt25o+WI8SxiMBzGDptcVawuvL/fkMWIgKtWo9Ggk/JsAiPz7KVKr9&#13;&#10;DldmW8SakQiGVEloYuxSzkPZGKfCyHcGCat871Sks6+57tWOxF3LL4SYcKcskkOjOnPbmPKr2DgJ&#13;&#10;12/vZ9WHbX7rh+fPSfVYLO3301LK05Phbk7jZg4smiH+f8C+A+WHnIKt/QZ1YK2Ey+k0ISoB44Sa&#13;&#10;7RliJmhbS0iuCON5xg+b5H8AAAD//wMAUEsBAi0AFAAGAAgAAAAhALaDOJL+AAAA4QEAABMAAAAA&#13;&#10;AAAAAAAAAAAAAAAAAFtDb250ZW50X1R5cGVzXS54bWxQSwECLQAUAAYACAAAACEAOP0h/9YAAACU&#13;&#10;AQAACwAAAAAAAAAAAAAAAAAvAQAAX3JlbHMvLnJlbHNQSwECLQAUAAYACAAAACEAdwE56MkBAACF&#13;&#10;AwAADgAAAAAAAAAAAAAAAAAuAgAAZHJzL2Uyb0RvYy54bWxQSwECLQAUAAYACAAAACEA13w3DecA&#13;&#10;AAARAQAADwAAAAAAAAAAAAAAAAAjBAAAZHJzL2Rvd25yZXYueG1sUEsFBgAAAAAEAAQA8wAAADcF&#13;&#10;AAAAAA==&#13;&#10;" filled="f" stroked="f">
                <v:textbox inset="2.53958mm,2.53958mm,2.53958mm,2.53958mm">
                  <w:txbxContent>
                    <w:p w14:paraId="0315481E" w14:textId="0FC7F74F" w:rsidR="00E61D81" w:rsidRPr="003F5697" w:rsidRDefault="009F55C3">
                      <w:pPr>
                        <w:textDirection w:val="btLr"/>
                        <w:rPr>
                          <w:sz w:val="20"/>
                          <w:szCs w:val="20"/>
                        </w:rPr>
                      </w:pPr>
                      <w:r w:rsidRPr="003F5697">
                        <w:rPr>
                          <w:b/>
                          <w:color w:val="000000"/>
                          <w:sz w:val="20"/>
                          <w:szCs w:val="20"/>
                        </w:rPr>
                        <w:t xml:space="preserve">Fig </w:t>
                      </w:r>
                      <w:r w:rsidR="003F5697">
                        <w:rPr>
                          <w:b/>
                          <w:color w:val="000000"/>
                          <w:sz w:val="20"/>
                          <w:szCs w:val="20"/>
                        </w:rPr>
                        <w:t>6</w:t>
                      </w:r>
                      <w:r w:rsidRPr="003F5697">
                        <w:rPr>
                          <w:b/>
                          <w:color w:val="000000"/>
                          <w:sz w:val="20"/>
                          <w:szCs w:val="20"/>
                        </w:rPr>
                        <w:t>: Tet-On system</w:t>
                      </w:r>
                    </w:p>
                    <w:p w14:paraId="627C6B3B" w14:textId="0203BD84" w:rsidR="00E61D81" w:rsidRPr="003F5697" w:rsidRDefault="009F55C3">
                      <w:pPr>
                        <w:textDirection w:val="btLr"/>
                        <w:rPr>
                          <w:sz w:val="20"/>
                          <w:szCs w:val="20"/>
                        </w:rPr>
                      </w:pPr>
                      <w:r w:rsidRPr="003F5697">
                        <w:rPr>
                          <w:color w:val="000000"/>
                          <w:sz w:val="20"/>
                          <w:szCs w:val="20"/>
                        </w:rPr>
                        <w:t>In the Tet-On system, doxycycline (dox), a tetracycline derivative</w:t>
                      </w:r>
                      <w:r w:rsidR="00C26006" w:rsidRPr="003F5697">
                        <w:rPr>
                          <w:color w:val="000000"/>
                          <w:sz w:val="20"/>
                          <w:szCs w:val="20"/>
                        </w:rPr>
                        <w:t>,</w:t>
                      </w:r>
                      <w:r w:rsidRPr="003F5697">
                        <w:rPr>
                          <w:color w:val="000000"/>
                          <w:sz w:val="20"/>
                          <w:szCs w:val="20"/>
                        </w:rPr>
                        <w:t xml:space="preserve"> binds to the reverse tetracycline </w:t>
                      </w:r>
                      <w:proofErr w:type="spellStart"/>
                      <w:r w:rsidRPr="003F5697">
                        <w:rPr>
                          <w:color w:val="000000"/>
                          <w:sz w:val="20"/>
                          <w:szCs w:val="20"/>
                        </w:rPr>
                        <w:t>transactivator</w:t>
                      </w:r>
                      <w:proofErr w:type="spellEnd"/>
                      <w:r w:rsidRPr="003F5697">
                        <w:rPr>
                          <w:color w:val="000000"/>
                          <w:sz w:val="20"/>
                          <w:szCs w:val="20"/>
                        </w:rPr>
                        <w:t xml:space="preserve"> (</w:t>
                      </w:r>
                      <w:proofErr w:type="spellStart"/>
                      <w:r w:rsidRPr="003F5697">
                        <w:rPr>
                          <w:color w:val="000000"/>
                          <w:sz w:val="20"/>
                          <w:szCs w:val="20"/>
                        </w:rPr>
                        <w:t>rtTA</w:t>
                      </w:r>
                      <w:proofErr w:type="spellEnd"/>
                      <w:r w:rsidRPr="003F5697">
                        <w:rPr>
                          <w:color w:val="000000"/>
                          <w:sz w:val="20"/>
                          <w:szCs w:val="20"/>
                        </w:rPr>
                        <w:t xml:space="preserve">) at the tetracycline response element (TRE). reverse tetracycline </w:t>
                      </w:r>
                      <w:proofErr w:type="spellStart"/>
                      <w:r w:rsidRPr="003F5697">
                        <w:rPr>
                          <w:color w:val="000000"/>
                          <w:sz w:val="20"/>
                          <w:szCs w:val="20"/>
                        </w:rPr>
                        <w:t>transactivator</w:t>
                      </w:r>
                      <w:proofErr w:type="spellEnd"/>
                      <w:r w:rsidRPr="003F5697">
                        <w:rPr>
                          <w:color w:val="000000"/>
                          <w:sz w:val="20"/>
                          <w:szCs w:val="20"/>
                        </w:rPr>
                        <w:t xml:space="preserve"> (</w:t>
                      </w:r>
                      <w:proofErr w:type="spellStart"/>
                      <w:r w:rsidRPr="003F5697">
                        <w:rPr>
                          <w:color w:val="000000"/>
                          <w:sz w:val="20"/>
                          <w:szCs w:val="20"/>
                        </w:rPr>
                        <w:t>rtTA</w:t>
                      </w:r>
                      <w:proofErr w:type="spellEnd"/>
                      <w:r w:rsidRPr="003F5697">
                        <w:rPr>
                          <w:color w:val="000000"/>
                          <w:sz w:val="20"/>
                          <w:szCs w:val="20"/>
                        </w:rPr>
                        <w:t xml:space="preserve">) is a transcription factor that binds to the promoter region. When doxycycline binds to the </w:t>
                      </w:r>
                      <w:proofErr w:type="spellStart"/>
                      <w:r w:rsidRPr="003F5697">
                        <w:rPr>
                          <w:color w:val="000000"/>
                          <w:sz w:val="20"/>
                          <w:szCs w:val="20"/>
                        </w:rPr>
                        <w:t>rtTA</w:t>
                      </w:r>
                      <w:proofErr w:type="spellEnd"/>
                      <w:r w:rsidRPr="003F5697">
                        <w:rPr>
                          <w:color w:val="000000"/>
                          <w:sz w:val="20"/>
                          <w:szCs w:val="20"/>
                        </w:rPr>
                        <w:t xml:space="preserve">, DNA is </w:t>
                      </w:r>
                      <w:proofErr w:type="spellStart"/>
                      <w:r w:rsidRPr="003F5697">
                        <w:rPr>
                          <w:color w:val="000000"/>
                          <w:sz w:val="20"/>
                          <w:szCs w:val="20"/>
                        </w:rPr>
                        <w:t>binded</w:t>
                      </w:r>
                      <w:proofErr w:type="spellEnd"/>
                      <w:r w:rsidRPr="003F5697">
                        <w:rPr>
                          <w:color w:val="000000"/>
                          <w:sz w:val="20"/>
                          <w:szCs w:val="20"/>
                        </w:rPr>
                        <w:t xml:space="preserve"> at the promoter. This allows for the gene of interest (G.O.I) to be expressed, HIV-1. Figure obtained from reference </w:t>
                      </w:r>
                      <w:r w:rsidR="008F52D9">
                        <w:rPr>
                          <w:color w:val="000000"/>
                          <w:sz w:val="20"/>
                          <w:szCs w:val="20"/>
                        </w:rPr>
                        <w:t>4</w:t>
                      </w:r>
                      <w:r w:rsidRPr="003F5697">
                        <w:rPr>
                          <w:color w:val="000000"/>
                          <w:sz w:val="20"/>
                          <w:szCs w:val="20"/>
                        </w:rPr>
                        <w:t>.</w:t>
                      </w:r>
                    </w:p>
                    <w:p w14:paraId="5A2AA973" w14:textId="77777777" w:rsidR="00E61D81" w:rsidRDefault="00E61D81">
                      <w:pPr>
                        <w:textDirection w:val="btLr"/>
                      </w:pPr>
                    </w:p>
                    <w:p w14:paraId="31B38AA7" w14:textId="77777777" w:rsidR="00E61D81" w:rsidRDefault="00E61D81">
                      <w:pPr>
                        <w:textDirection w:val="btLr"/>
                      </w:pPr>
                    </w:p>
                    <w:p w14:paraId="4FDAF565" w14:textId="77777777" w:rsidR="00E61D81" w:rsidRDefault="00E61D81">
                      <w:pPr>
                        <w:textDirection w:val="btLr"/>
                      </w:pPr>
                    </w:p>
                  </w:txbxContent>
                </v:textbox>
                <w10:wrap type="tight"/>
              </v:shape>
            </w:pict>
          </mc:Fallback>
        </mc:AlternateContent>
      </w:r>
      <w:r w:rsidR="009F55C3">
        <w:t>The Tet-On doxycycline inducible system was used by Das et al (2016)</w:t>
      </w:r>
      <w:r w:rsidR="00E509C1">
        <w:rPr>
          <w:vertAlign w:val="superscript"/>
        </w:rPr>
        <w:t>4</w:t>
      </w:r>
      <w:r w:rsidR="009F55C3">
        <w:rPr>
          <w:vertAlign w:val="superscript"/>
        </w:rPr>
        <w:t xml:space="preserve"> </w:t>
      </w:r>
      <w:r w:rsidR="009F55C3">
        <w:t xml:space="preserve">to express their gene of interest, HIV-1 in human cells. This system was used as a method to induce gene expression where the transcription gene of interest was turned on in the presence of doxycycline, a tetracycline derivative. In the absence of doxycycline, gene expression was turned off. Das et al created a system where the binding of doxycycline to </w:t>
      </w:r>
      <w:proofErr w:type="spellStart"/>
      <w:r w:rsidR="009F55C3">
        <w:t>rtTA</w:t>
      </w:r>
      <w:proofErr w:type="spellEnd"/>
      <w:r w:rsidR="009F55C3">
        <w:t xml:space="preserve"> (reverse tetracycline </w:t>
      </w:r>
      <w:proofErr w:type="spellStart"/>
      <w:r w:rsidR="009F55C3">
        <w:t>transactivator</w:t>
      </w:r>
      <w:proofErr w:type="spellEnd"/>
      <w:r w:rsidR="009F55C3">
        <w:t xml:space="preserve">) at the tetracycline response element allowed for the region to interact with the RNA polymerase at the </w:t>
      </w:r>
      <w:r w:rsidR="009F55C3">
        <w:lastRenderedPageBreak/>
        <w:t xml:space="preserve">promoter, thereby transcribing the downstream gene, HIV-1 (Figure </w:t>
      </w:r>
      <w:r w:rsidR="00F0584F">
        <w:t>6</w:t>
      </w:r>
      <w:r w:rsidR="009F55C3">
        <w:t>). With this system they were able to turn off and on the expression of HIV-1.</w:t>
      </w:r>
    </w:p>
    <w:p w14:paraId="69E131BC" w14:textId="1E480310" w:rsidR="00E61D81" w:rsidRDefault="00E61D81"/>
    <w:p w14:paraId="7F3DF380" w14:textId="4E646272" w:rsidR="00E61D81" w:rsidRDefault="00E61D81"/>
    <w:p w14:paraId="06B37F86" w14:textId="690C42DB" w:rsidR="00E61D81" w:rsidRDefault="009F55C3">
      <w:pPr>
        <w:rPr>
          <w:u w:val="single"/>
        </w:rPr>
      </w:pPr>
      <w:r>
        <w:t>II.</w:t>
      </w:r>
      <w:r w:rsidR="00AC3C6B">
        <w:t>D</w:t>
      </w:r>
      <w:r>
        <w:t xml:space="preserve"> </w:t>
      </w:r>
      <w:r>
        <w:rPr>
          <w:u w:val="single"/>
        </w:rPr>
        <w:t>Expression of TGF-β</w:t>
      </w:r>
    </w:p>
    <w:p w14:paraId="2F2FDB46" w14:textId="32A90248" w:rsidR="00E61D81" w:rsidRDefault="003F5697">
      <w:r>
        <w:rPr>
          <w:noProof/>
        </w:rPr>
        <w:drawing>
          <wp:anchor distT="114300" distB="114300" distL="114300" distR="114300" simplePos="0" relativeHeight="251666432" behindDoc="0" locked="0" layoutInCell="1" hidden="0" allowOverlap="1" wp14:anchorId="3B6B8642" wp14:editId="2493DC9A">
            <wp:simplePos x="0" y="0"/>
            <wp:positionH relativeFrom="column">
              <wp:posOffset>3042719</wp:posOffset>
            </wp:positionH>
            <wp:positionV relativeFrom="paragraph">
              <wp:posOffset>1927826</wp:posOffset>
            </wp:positionV>
            <wp:extent cx="3728720" cy="2324100"/>
            <wp:effectExtent l="0" t="0" r="0" b="0"/>
            <wp:wrapSquare wrapText="bothSides" distT="114300" distB="114300" distL="114300" distR="11430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3728720" cy="2324100"/>
                    </a:xfrm>
                    <a:prstGeom prst="rect">
                      <a:avLst/>
                    </a:prstGeom>
                    <a:ln/>
                  </pic:spPr>
                </pic:pic>
              </a:graphicData>
            </a:graphic>
          </wp:anchor>
        </w:drawing>
      </w:r>
      <w:r w:rsidR="009F55C3">
        <w:t>Using the Tet-On doxycycline inducible system, the expression of TGF-β in pancreatic cells can be induced. The DNA plasmids containing TGF-β will be transfected into panc-1 cells (pancreatic cells).  In order to see if the overexpression of TGF-β inhibits the expression of TGIF1, there will need to be two experimental groups. The first group will have a TGF-β plasmid and doxycycline (D</w:t>
      </w:r>
      <w:r w:rsidR="008C7D4A">
        <w:t>ox</w:t>
      </w:r>
      <w:r w:rsidR="009F55C3">
        <w:t xml:space="preserve"> +). The second group will have a TGF-β plasmid and no doxycycline (D</w:t>
      </w:r>
      <w:r w:rsidR="008C7D4A">
        <w:t>ox</w:t>
      </w:r>
      <w:r w:rsidR="009F55C3">
        <w:t xml:space="preserve"> -). Two control groups will be made, with one containing an empty plasmid and doxycycline (D</w:t>
      </w:r>
      <w:r w:rsidR="008C7D4A">
        <w:t>ox</w:t>
      </w:r>
      <w:r w:rsidR="009F55C3">
        <w:t xml:space="preserve"> +), the other group will have an empty plasmid without doxycycline (D</w:t>
      </w:r>
      <w:r w:rsidR="008C7D4A">
        <w:t>ox</w:t>
      </w:r>
      <w:r w:rsidR="009F55C3">
        <w:t xml:space="preserve"> -). The purpose of having two control groups with empty plasmids is to see whether or not the plasmids with TGF-β are working.</w:t>
      </w:r>
    </w:p>
    <w:p w14:paraId="59FBCA9E" w14:textId="23DA05B7" w:rsidR="00E61D81" w:rsidRDefault="00E61D81"/>
    <w:p w14:paraId="5AD6926B" w14:textId="09FE6E3E" w:rsidR="00E61D81" w:rsidRDefault="009F55C3">
      <w:pPr>
        <w:rPr>
          <w:u w:val="single"/>
        </w:rPr>
      </w:pPr>
      <w:r>
        <w:t>II.</w:t>
      </w:r>
      <w:r w:rsidR="00AC3C6B">
        <w:t>E</w:t>
      </w:r>
      <w:r>
        <w:rPr>
          <w:u w:val="single"/>
        </w:rPr>
        <w:t xml:space="preserve"> Measuring expression levels of TGIF1</w:t>
      </w:r>
    </w:p>
    <w:p w14:paraId="74BC0116" w14:textId="2E67E372" w:rsidR="00E61D81" w:rsidRDefault="009F55C3">
      <w:r>
        <w:t>Co-immunoprecipitation is a technique that is used to identify the protein-protein interactions between two proteins</w:t>
      </w:r>
      <w:r w:rsidR="00F0584F">
        <w:t xml:space="preserve"> (Fig</w:t>
      </w:r>
      <w:r w:rsidR="009250FC">
        <w:t xml:space="preserve"> 7)</w:t>
      </w:r>
      <w:r>
        <w:t xml:space="preserve">. To get the TGIF1 and TGF-β complex, anti-TGIF1 antibodies connect </w:t>
      </w:r>
      <w:r w:rsidR="0086334E">
        <w:t xml:space="preserve">to </w:t>
      </w:r>
      <w:r>
        <w:t>beads that are in a mixture. The anti-TGIF1 antibod</w:t>
      </w:r>
      <w:r w:rsidR="0086334E">
        <w:t>ies</w:t>
      </w:r>
      <w:r>
        <w:t xml:space="preserve"> ha</w:t>
      </w:r>
      <w:r w:rsidR="0086334E">
        <w:t>ve</w:t>
      </w:r>
      <w:r>
        <w:t xml:space="preserve"> specific antigen binding site</w:t>
      </w:r>
      <w:r w:rsidR="0086334E">
        <w:t>s</w:t>
      </w:r>
      <w:r>
        <w:t xml:space="preserve"> that bind to a specific portion of TGIF1</w:t>
      </w:r>
      <w:r w:rsidR="009113E8">
        <w:rPr>
          <w:vertAlign w:val="superscript"/>
        </w:rPr>
        <w:t>1</w:t>
      </w:r>
      <w:r>
        <w:t xml:space="preserve">. The solution is then </w:t>
      </w:r>
      <w:r w:rsidR="00C26006">
        <w:t>ultra-centrifuged</w:t>
      </w:r>
      <w:r>
        <w:t xml:space="preserve">, all of the beads that have the TGIF1 and TGF-β complex full down to the bottom, forming a pellet. This process </w:t>
      </w:r>
      <w:r w:rsidR="00B30330">
        <w:t>is</w:t>
      </w:r>
      <w:r>
        <w:t xml:space="preserve"> done for the experimental and control groups.</w:t>
      </w:r>
    </w:p>
    <w:p w14:paraId="6B82B09C" w14:textId="61A06E11" w:rsidR="00E61D81" w:rsidRDefault="00B66594">
      <w:r>
        <w:rPr>
          <w:noProof/>
        </w:rPr>
        <mc:AlternateContent>
          <mc:Choice Requires="wps">
            <w:drawing>
              <wp:anchor distT="0" distB="0" distL="114300" distR="114300" simplePos="0" relativeHeight="251671552" behindDoc="1" locked="0" layoutInCell="1" allowOverlap="1" wp14:anchorId="1FA30134" wp14:editId="44D0BDE5">
                <wp:simplePos x="0" y="0"/>
                <wp:positionH relativeFrom="column">
                  <wp:posOffset>4457937</wp:posOffset>
                </wp:positionH>
                <wp:positionV relativeFrom="paragraph">
                  <wp:posOffset>171952</wp:posOffset>
                </wp:positionV>
                <wp:extent cx="2396691" cy="609600"/>
                <wp:effectExtent l="0" t="0" r="3810" b="0"/>
                <wp:wrapTight wrapText="bothSides">
                  <wp:wrapPolygon edited="0">
                    <wp:start x="0" y="0"/>
                    <wp:lineTo x="0" y="21150"/>
                    <wp:lineTo x="21520" y="21150"/>
                    <wp:lineTo x="21520"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2396691" cy="609600"/>
                        </a:xfrm>
                        <a:prstGeom prst="rect">
                          <a:avLst/>
                        </a:prstGeom>
                        <a:solidFill>
                          <a:schemeClr val="lt1"/>
                        </a:solidFill>
                        <a:ln w="6350">
                          <a:noFill/>
                        </a:ln>
                      </wps:spPr>
                      <wps:txbx>
                        <w:txbxContent>
                          <w:p w14:paraId="4304B393" w14:textId="600F25CB" w:rsidR="003F5697" w:rsidRDefault="003F5697">
                            <w:pPr>
                              <w:rPr>
                                <w:b/>
                                <w:bCs/>
                                <w:sz w:val="20"/>
                                <w:szCs w:val="20"/>
                              </w:rPr>
                            </w:pPr>
                            <w:r w:rsidRPr="00A776FE">
                              <w:rPr>
                                <w:b/>
                                <w:bCs/>
                                <w:sz w:val="20"/>
                                <w:szCs w:val="20"/>
                              </w:rPr>
                              <w:t>Fig.7: Co-immunoprecipitation</w:t>
                            </w:r>
                          </w:p>
                          <w:p w14:paraId="4029D7C7" w14:textId="2849FCBF" w:rsidR="005F3EAA" w:rsidRPr="005F3EAA" w:rsidRDefault="005F3EAA">
                            <w:pPr>
                              <w:rPr>
                                <w:sz w:val="20"/>
                                <w:szCs w:val="20"/>
                              </w:rPr>
                            </w:pPr>
                            <w:r w:rsidRPr="005F3EAA">
                              <w:rPr>
                                <w:sz w:val="20"/>
                                <w:szCs w:val="20"/>
                              </w:rPr>
                              <w:t xml:space="preserve">Figure obtained from Thermo Fisher Scientific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A30134" id="Text Box 17" o:spid="_x0000_s1034" type="#_x0000_t202" style="position:absolute;margin-left:351pt;margin-top:13.55pt;width:188.7pt;height:48pt;z-index:-25164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glqRAIAAIIEAAAOAAAAZHJzL2Uyb0RvYy54bWysVN9v2jAQfp+0/8Hy+5pAKR2IULFWTJOq&#13;&#10;tlI79dk4DkRyfJ5tSNhfv88OUNbtadqLc74734/vu8vspms02ynnazIFH1zknCkjqazNuuDfX5af&#13;&#10;PnPmgzCl0GRUwffK85v5xw+z1k7VkDakS+UYghg/bW3BNyHYaZZ5uVGN8BdklYGxIteIgKtbZ6UT&#13;&#10;LaI3Ohvm+ThryZXWkVTeQ3vXG/k8xa8qJcNjVXkVmC44agvpdOlcxTObz8R07YTd1PJQhviHKhpR&#13;&#10;GyQ9hboTQbCtq/8I1dTSkacqXEhqMqqqWqrUA7oZ5O+6ed4Iq1IvAMfbE0z+/4WVD7snx+oS3F1z&#13;&#10;ZkQDjl5UF9gX6hhUwKe1fgq3ZwvH0EEP36PeQxnb7irXxC8aYrAD6f0J3RhNQjm8nIzHkwFnErZx&#13;&#10;PhnnCf7s7bV1PnxV1LAoFNyBvQSq2N37gErgenSJyTzpulzWWqdLnBh1qx3bCXCtQ6oRL37z0oa1&#13;&#10;SH55lafAhuLzPrI2SBB77XuKUuhWXcLmhMOKyj1gcNQPkrdyWaPWe+HDk3CYHHSObQiPOCpNyEUH&#13;&#10;ibMNuZ9/00d/EAorZy0mseD+x1Y4xZn+ZkD1ZDAaxdFNl9HV9RAXd25ZnVvMtrklAACcUV0So3/Q&#13;&#10;R7Fy1LxiaRYxK0zCSOQueDiKt6HfDyydVItFcsKwWhHuzbOVMXQEPDLx0r0KZw90BRD9QMeZFdN3&#13;&#10;rPW+8aWhxTZQVSdKI849qgf4MeiJ6cNSxk06vyevt1/H/BcAAAD//wMAUEsDBBQABgAIAAAAIQCk&#13;&#10;2GXO5wAAABABAAAPAAAAZHJzL2Rvd25yZXYueG1sTI9NT8MwDIbvSPyHyEhc0Ja0hRW6phPiY0jc&#13;&#10;WPkQt6wJbUXjVE3Wln+Pd4KLZcv2+75Pvpltx0Yz+NahhGgpgBmsnG6xlvBaPi6ugfmgUKvOoZHw&#13;&#10;YzxsitOTXGXaTfhixl2oGYmgz5SEJoQ+49xXjbHKL11vkHZfbrAq0DjUXA9qInHb8ViIFbeqRXJo&#13;&#10;VG/uGlN97w5WwudF/fHs5+3blFwl/cPTWKbvupTy/Gy+X1O5XQMLZg5/H3BkoPxQULC9O6D2rJOQ&#13;&#10;ipiAgoQ4jYAdD0R6cwlsT12cRMCLnP8HKX4BAAD//wMAUEsBAi0AFAAGAAgAAAAhALaDOJL+AAAA&#13;&#10;4QEAABMAAAAAAAAAAAAAAAAAAAAAAFtDb250ZW50X1R5cGVzXS54bWxQSwECLQAUAAYACAAAACEA&#13;&#10;OP0h/9YAAACUAQAACwAAAAAAAAAAAAAAAAAvAQAAX3JlbHMvLnJlbHNQSwECLQAUAAYACAAAACEA&#13;&#10;MM4JakQCAACCBAAADgAAAAAAAAAAAAAAAAAuAgAAZHJzL2Uyb0RvYy54bWxQSwECLQAUAAYACAAA&#13;&#10;ACEApNhlzucAAAAQAQAADwAAAAAAAAAAAAAAAACeBAAAZHJzL2Rvd25yZXYueG1sUEsFBgAAAAAE&#13;&#10;AAQA8wAAALIFAAAAAA==&#13;&#10;" fillcolor="white [3201]" stroked="f" strokeweight=".5pt">
                <v:textbox>
                  <w:txbxContent>
                    <w:p w14:paraId="4304B393" w14:textId="600F25CB" w:rsidR="003F5697" w:rsidRDefault="003F5697">
                      <w:pPr>
                        <w:rPr>
                          <w:b/>
                          <w:bCs/>
                          <w:sz w:val="20"/>
                          <w:szCs w:val="20"/>
                        </w:rPr>
                      </w:pPr>
                      <w:r w:rsidRPr="00A776FE">
                        <w:rPr>
                          <w:b/>
                          <w:bCs/>
                          <w:sz w:val="20"/>
                          <w:szCs w:val="20"/>
                        </w:rPr>
                        <w:t>Fig.7: Co-immunoprecipitation</w:t>
                      </w:r>
                    </w:p>
                    <w:p w14:paraId="4029D7C7" w14:textId="2849FCBF" w:rsidR="005F3EAA" w:rsidRPr="005F3EAA" w:rsidRDefault="005F3EAA">
                      <w:pPr>
                        <w:rPr>
                          <w:sz w:val="20"/>
                          <w:szCs w:val="20"/>
                        </w:rPr>
                      </w:pPr>
                      <w:r w:rsidRPr="005F3EAA">
                        <w:rPr>
                          <w:sz w:val="20"/>
                          <w:szCs w:val="20"/>
                        </w:rPr>
                        <w:t xml:space="preserve">Figure obtained from Thermo Fisher Scientific </w:t>
                      </w:r>
                    </w:p>
                  </w:txbxContent>
                </v:textbox>
                <w10:wrap type="tight"/>
              </v:shape>
            </w:pict>
          </mc:Fallback>
        </mc:AlternateContent>
      </w:r>
    </w:p>
    <w:p w14:paraId="0FBE4830" w14:textId="5DF380C8" w:rsidR="00E61D81" w:rsidRDefault="002F6189">
      <w:r>
        <w:rPr>
          <w:noProof/>
        </w:rPr>
        <mc:AlternateContent>
          <mc:Choice Requires="wps">
            <w:drawing>
              <wp:anchor distT="0" distB="0" distL="114300" distR="114300" simplePos="0" relativeHeight="251673600" behindDoc="1" locked="0" layoutInCell="1" allowOverlap="1" wp14:anchorId="3B49546B" wp14:editId="1DD2990B">
                <wp:simplePos x="0" y="0"/>
                <wp:positionH relativeFrom="column">
                  <wp:posOffset>4790114</wp:posOffset>
                </wp:positionH>
                <wp:positionV relativeFrom="paragraph">
                  <wp:posOffset>1258354</wp:posOffset>
                </wp:positionV>
                <wp:extent cx="1969477" cy="1728133"/>
                <wp:effectExtent l="0" t="0" r="0" b="0"/>
                <wp:wrapTight wrapText="bothSides">
                  <wp:wrapPolygon edited="0">
                    <wp:start x="0" y="0"/>
                    <wp:lineTo x="0" y="21433"/>
                    <wp:lineTo x="21454" y="21433"/>
                    <wp:lineTo x="21454"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1969477" cy="1728133"/>
                        </a:xfrm>
                        <a:prstGeom prst="rect">
                          <a:avLst/>
                        </a:prstGeom>
                        <a:solidFill>
                          <a:schemeClr val="lt1"/>
                        </a:solidFill>
                        <a:ln w="6350">
                          <a:noFill/>
                        </a:ln>
                      </wps:spPr>
                      <wps:txbx>
                        <w:txbxContent>
                          <w:p w14:paraId="5CF2B190" w14:textId="431364C7" w:rsidR="002F6189" w:rsidRDefault="002F6189">
                            <w:pPr>
                              <w:rPr>
                                <w:b/>
                                <w:bCs/>
                                <w:sz w:val="20"/>
                                <w:szCs w:val="20"/>
                              </w:rPr>
                            </w:pPr>
                            <w:r w:rsidRPr="00783CFF">
                              <w:rPr>
                                <w:b/>
                                <w:bCs/>
                                <w:sz w:val="20"/>
                                <w:szCs w:val="20"/>
                              </w:rPr>
                              <w:t>Fig. 8: Example</w:t>
                            </w:r>
                            <w:r w:rsidR="00783CFF" w:rsidRPr="00783CFF">
                              <w:rPr>
                                <w:b/>
                                <w:bCs/>
                                <w:sz w:val="20"/>
                                <w:szCs w:val="20"/>
                              </w:rPr>
                              <w:t xml:space="preserve"> western blot results</w:t>
                            </w:r>
                          </w:p>
                          <w:p w14:paraId="5A0E041A" w14:textId="16BD495F" w:rsidR="00783CFF" w:rsidRPr="00783CFF" w:rsidRDefault="00783CFF">
                            <w:pPr>
                              <w:rPr>
                                <w:sz w:val="20"/>
                                <w:szCs w:val="20"/>
                              </w:rPr>
                            </w:pPr>
                            <w:r>
                              <w:rPr>
                                <w:sz w:val="20"/>
                                <w:szCs w:val="20"/>
                              </w:rPr>
                              <w:t>The ima</w:t>
                            </w:r>
                            <w:r w:rsidR="009E465E">
                              <w:rPr>
                                <w:sz w:val="20"/>
                                <w:szCs w:val="20"/>
                              </w:rPr>
                              <w:t xml:space="preserve">ging system scans for the presence of fluorophores, indicating where the target protein is. </w:t>
                            </w:r>
                            <w:r w:rsidR="00F072A8">
                              <w:rPr>
                                <w:sz w:val="20"/>
                                <w:szCs w:val="20"/>
                              </w:rPr>
                              <w:t xml:space="preserve">Black bands are shown as a result. </w:t>
                            </w:r>
                            <w:r w:rsidR="004A4577">
                              <w:rPr>
                                <w:sz w:val="20"/>
                                <w:szCs w:val="20"/>
                              </w:rPr>
                              <w:t xml:space="preserve">If the band is dark, it indicates an increase in protein level. A light band indicates low </w:t>
                            </w:r>
                            <w:r w:rsidR="008F52D9">
                              <w:rPr>
                                <w:sz w:val="20"/>
                                <w:szCs w:val="20"/>
                              </w:rPr>
                              <w:t>protein</w:t>
                            </w:r>
                            <w:r w:rsidR="004A4577">
                              <w:rPr>
                                <w:sz w:val="20"/>
                                <w:szCs w:val="20"/>
                              </w:rPr>
                              <w:t xml:space="preserve"> level</w:t>
                            </w:r>
                            <w:r w:rsidR="008F52D9">
                              <w:rPr>
                                <w:sz w:val="20"/>
                                <w:szCs w:val="20"/>
                              </w:rPr>
                              <w:t>. Figure obtained from reference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49546B" id="Text Box 18" o:spid="_x0000_s1035" type="#_x0000_t202" style="position:absolute;margin-left:377.15pt;margin-top:99.1pt;width:155.1pt;height:136.0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vktDRQIAAIMEAAAOAAAAZHJzL2Uyb0RvYy54bWysVFFv2jAQfp+0/2D5fYQAhRIRKkbFNAm1&#13;&#10;lWDqs3FsEsnxebYhYb9+Zwco7fY07cWx786f777vLrOHtlbkKKyrQOc07fUpEZpDUel9Tn9sV1/u&#13;&#10;KXGe6YIp0CKnJ+How/zzp1ljMjGAElQhLEEQ7bLG5LT03mRJ4ngpauZ6YIRGpwRbM49Hu08KyxpE&#13;&#10;r1Uy6PfHSQO2MBa4cA6tj52TziO+lIL7Zymd8ETlFHPzcbVx3YU1mc9YtrfMlBU/p8H+IYuaVRof&#13;&#10;vUI9Ms/IwVZ/QNUVt+BA+h6HOgEpKy5iDVhN2v9QzaZkRsRakBxnrjS5/wfLn44vllQFaodKaVaj&#13;&#10;RlvRevIVWoIm5KcxLsOwjcFA36IdYy92h8ZQdittHb5YEEE/Mn26shvQeLg0HU9HkwklHH3pZHCf&#13;&#10;DocBJ3m7bqzz3wTUJGxyalG+yCo7rp3vQi8h4TUHqipWlVLxEFpGLJUlR4ZiKx+TRPB3UUqTJqfj&#13;&#10;4V0/AmsI1ztkpTGXUGxXVNj5dtdGcq5E7KA4IQ8Wuk5yhq8qzHXNnH9hFlsHS8dx8M+4SAX4Fpx3&#13;&#10;lJRgf/3NHuJRUfRS0mAr5tT9PDArKFHfNWo9TUej0LvxMLqbDPBgbz27W48+1EtAAlIcPMPjNsR7&#13;&#10;ddlKC/UrTs0ivIoupjm+nVN/2S59NyA4dVwsFjEIu9Uwv9YbwwN0IDwosW1fmTVnuTwq/QSXpmXZ&#13;&#10;B9W62HBTw+LgQVZR0sBzx+qZfuz02BTnqQyjdHuOUW//jvlvAAAA//8DAFBLAwQUAAYACAAAACEA&#13;&#10;fCXuduYAAAARAQAADwAAAGRycy9kb3ducmV2LnhtbExPy07DMBC8I/EP1iJxQdSmSZqSxqkQT4kb&#13;&#10;DQ9xc+MliYjtKHaT8PdsT3AZaTWz88i3s+nYiINvnZVwtRDA0FZOt7aW8Fo+XK6B+aCsVp2zKOEH&#13;&#10;PWyL05NcZdpN9gXHXagZmVifKQlNCH3Gua8aNMovXI+WuC83GBXoHGquBzWRuen4UogVN6q1lNCo&#13;&#10;Hm8brL53ByPh86L+ePbz49sUJVF//zSW6bsupTw/m+82BDcbYAHn8PcBxw3UHwoqtncHqz3rJKRJ&#13;&#10;HJGUiOv1EthRIVZxAmwvIU5FBLzI+f8lxS8AAAD//wMAUEsBAi0AFAAGAAgAAAAhALaDOJL+AAAA&#13;&#10;4QEAABMAAAAAAAAAAAAAAAAAAAAAAFtDb250ZW50X1R5cGVzXS54bWxQSwECLQAUAAYACAAAACEA&#13;&#10;OP0h/9YAAACUAQAACwAAAAAAAAAAAAAAAAAvAQAAX3JlbHMvLnJlbHNQSwECLQAUAAYACAAAACEA&#13;&#10;zb5LQ0UCAACDBAAADgAAAAAAAAAAAAAAAAAuAgAAZHJzL2Uyb0RvYy54bWxQSwECLQAUAAYACAAA&#13;&#10;ACEAfCXuduYAAAARAQAADwAAAAAAAAAAAAAAAACfBAAAZHJzL2Rvd25yZXYueG1sUEsFBgAAAAAE&#13;&#10;AAQA8wAAALIFAAAAAA==&#13;&#10;" fillcolor="white [3201]" stroked="f" strokeweight=".5pt">
                <v:textbox>
                  <w:txbxContent>
                    <w:p w14:paraId="5CF2B190" w14:textId="431364C7" w:rsidR="002F6189" w:rsidRDefault="002F6189">
                      <w:pPr>
                        <w:rPr>
                          <w:b/>
                          <w:bCs/>
                          <w:sz w:val="20"/>
                          <w:szCs w:val="20"/>
                        </w:rPr>
                      </w:pPr>
                      <w:r w:rsidRPr="00783CFF">
                        <w:rPr>
                          <w:b/>
                          <w:bCs/>
                          <w:sz w:val="20"/>
                          <w:szCs w:val="20"/>
                        </w:rPr>
                        <w:t>Fig. 8: Example</w:t>
                      </w:r>
                      <w:r w:rsidR="00783CFF" w:rsidRPr="00783CFF">
                        <w:rPr>
                          <w:b/>
                          <w:bCs/>
                          <w:sz w:val="20"/>
                          <w:szCs w:val="20"/>
                        </w:rPr>
                        <w:t xml:space="preserve"> western blot results</w:t>
                      </w:r>
                    </w:p>
                    <w:p w14:paraId="5A0E041A" w14:textId="16BD495F" w:rsidR="00783CFF" w:rsidRPr="00783CFF" w:rsidRDefault="00783CFF">
                      <w:pPr>
                        <w:rPr>
                          <w:sz w:val="20"/>
                          <w:szCs w:val="20"/>
                        </w:rPr>
                      </w:pPr>
                      <w:r>
                        <w:rPr>
                          <w:sz w:val="20"/>
                          <w:szCs w:val="20"/>
                        </w:rPr>
                        <w:t>The ima</w:t>
                      </w:r>
                      <w:r w:rsidR="009E465E">
                        <w:rPr>
                          <w:sz w:val="20"/>
                          <w:szCs w:val="20"/>
                        </w:rPr>
                        <w:t xml:space="preserve">ging system scans for the presence of fluorophores, indicating where the target protein is. </w:t>
                      </w:r>
                      <w:r w:rsidR="00F072A8">
                        <w:rPr>
                          <w:sz w:val="20"/>
                          <w:szCs w:val="20"/>
                        </w:rPr>
                        <w:t xml:space="preserve">Black bands are shown as a result. </w:t>
                      </w:r>
                      <w:r w:rsidR="004A4577">
                        <w:rPr>
                          <w:sz w:val="20"/>
                          <w:szCs w:val="20"/>
                        </w:rPr>
                        <w:t xml:space="preserve">If the band is dark, it indicates an increase in protein level. A light band indicates low </w:t>
                      </w:r>
                      <w:r w:rsidR="008F52D9">
                        <w:rPr>
                          <w:sz w:val="20"/>
                          <w:szCs w:val="20"/>
                        </w:rPr>
                        <w:t>protein</w:t>
                      </w:r>
                      <w:r w:rsidR="004A4577">
                        <w:rPr>
                          <w:sz w:val="20"/>
                          <w:szCs w:val="20"/>
                        </w:rPr>
                        <w:t xml:space="preserve"> level</w:t>
                      </w:r>
                      <w:r w:rsidR="008F52D9">
                        <w:rPr>
                          <w:sz w:val="20"/>
                          <w:szCs w:val="20"/>
                        </w:rPr>
                        <w:t>. Figure obtained from reference 1.</w:t>
                      </w:r>
                    </w:p>
                  </w:txbxContent>
                </v:textbox>
                <w10:wrap type="tight"/>
              </v:shape>
            </w:pict>
          </mc:Fallback>
        </mc:AlternateContent>
      </w:r>
      <w:r w:rsidR="009531C6" w:rsidRPr="009531C6">
        <w:rPr>
          <w:noProof/>
        </w:rPr>
        <w:drawing>
          <wp:anchor distT="0" distB="0" distL="114300" distR="114300" simplePos="0" relativeHeight="251672576" behindDoc="1" locked="0" layoutInCell="1" allowOverlap="1" wp14:anchorId="7552781D" wp14:editId="0E3C19CE">
            <wp:simplePos x="0" y="0"/>
            <wp:positionH relativeFrom="column">
              <wp:posOffset>4864979</wp:posOffset>
            </wp:positionH>
            <wp:positionV relativeFrom="paragraph">
              <wp:posOffset>801370</wp:posOffset>
            </wp:positionV>
            <wp:extent cx="1504315" cy="448945"/>
            <wp:effectExtent l="0" t="0" r="0" b="0"/>
            <wp:wrapSquare wrapText="bothSides"/>
            <wp:docPr id="23" name="Picture 22" descr="A screenshot of a social media post&#10;&#10;Description automatically generated">
              <a:extLst xmlns:a="http://schemas.openxmlformats.org/drawingml/2006/main">
                <a:ext uri="{FF2B5EF4-FFF2-40B4-BE49-F238E27FC236}">
                  <a16:creationId xmlns:a16="http://schemas.microsoft.com/office/drawing/2014/main" id="{A3BA6416-BB02-BC40-A119-69914AB128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A screenshot of a social media post&#10;&#10;Description automatically generated">
                      <a:extLst>
                        <a:ext uri="{FF2B5EF4-FFF2-40B4-BE49-F238E27FC236}">
                          <a16:creationId xmlns:a16="http://schemas.microsoft.com/office/drawing/2014/main" id="{A3BA6416-BB02-BC40-A119-69914AB12827}"/>
                        </a:ext>
                      </a:extLst>
                    </pic:cNvPr>
                    <pic:cNvPicPr>
                      <a:picLocks noChangeAspect="1"/>
                    </pic:cNvPicPr>
                  </pic:nvPicPr>
                  <pic:blipFill rotWithShape="1">
                    <a:blip r:embed="rId14">
                      <a:extLst>
                        <a:ext uri="{28A0092B-C50C-407E-A947-70E740481C1C}">
                          <a14:useLocalDpi xmlns:a14="http://schemas.microsoft.com/office/drawing/2010/main" val="0"/>
                        </a:ext>
                      </a:extLst>
                    </a:blip>
                    <a:srcRect l="27895" t="70113" r="58392" b="23333"/>
                    <a:stretch/>
                  </pic:blipFill>
                  <pic:spPr>
                    <a:xfrm>
                      <a:off x="0" y="0"/>
                      <a:ext cx="1504315" cy="448945"/>
                    </a:xfrm>
                    <a:prstGeom prst="rect">
                      <a:avLst/>
                    </a:prstGeom>
                  </pic:spPr>
                </pic:pic>
              </a:graphicData>
            </a:graphic>
            <wp14:sizeRelH relativeFrom="page">
              <wp14:pctWidth>0</wp14:pctWidth>
            </wp14:sizeRelH>
            <wp14:sizeRelV relativeFrom="page">
              <wp14:pctHeight>0</wp14:pctHeight>
            </wp14:sizeRelV>
          </wp:anchor>
        </w:drawing>
      </w:r>
      <w:r w:rsidR="009F55C3">
        <w:t>Western blot is a technique that allows for the</w:t>
      </w:r>
      <w:r w:rsidR="00FE6371">
        <w:t xml:space="preserve"> </w:t>
      </w:r>
      <w:r w:rsidR="009F55C3">
        <w:t xml:space="preserve">detection of a specific protein. </w:t>
      </w:r>
      <w:proofErr w:type="spellStart"/>
      <w:r w:rsidR="009F55C3">
        <w:t>Parash</w:t>
      </w:r>
      <w:proofErr w:type="spellEnd"/>
      <w:r w:rsidR="009F55C3">
        <w:t xml:space="preserve"> et al (2019)</w:t>
      </w:r>
      <w:r w:rsidR="009113E8">
        <w:rPr>
          <w:vertAlign w:val="superscript"/>
        </w:rPr>
        <w:t>1</w:t>
      </w:r>
      <w:r w:rsidR="009F55C3">
        <w:t xml:space="preserve"> employed this technique to analyze the amount of TGIF1 protein expression. Protein samples were separated by molecular weight, this was done by gel electrophoresis</w:t>
      </w:r>
      <w:r w:rsidR="0009398A">
        <w:rPr>
          <w:vertAlign w:val="superscript"/>
        </w:rPr>
        <w:t>6</w:t>
      </w:r>
      <w:r w:rsidR="009F55C3">
        <w:t xml:space="preserve">. Charged molecules were transported through an electrical field where the negatively charged proteins moved down towards the positive end. Proteins that were larger in size traveled down slowly in the electrical field. Due to how difficult it </w:t>
      </w:r>
      <w:r w:rsidR="003D0D6F">
        <w:t>is</w:t>
      </w:r>
      <w:r w:rsidR="009F55C3">
        <w:t xml:space="preserve"> to identify proteins while they are in a gel, the proteins </w:t>
      </w:r>
      <w:r w:rsidR="00DD067D">
        <w:t>were</w:t>
      </w:r>
      <w:r w:rsidR="009F55C3">
        <w:t xml:space="preserve"> transferred to a membrane that allow</w:t>
      </w:r>
      <w:r w:rsidR="00DD067D">
        <w:t>ed</w:t>
      </w:r>
      <w:r w:rsidR="009F55C3">
        <w:t xml:space="preserve"> for </w:t>
      </w:r>
      <w:r>
        <w:t xml:space="preserve">protein </w:t>
      </w:r>
      <w:r w:rsidRPr="009531C6">
        <w:t>detection</w:t>
      </w:r>
      <w:r w:rsidR="009F55C3">
        <w:t xml:space="preserve">. In order to prevent </w:t>
      </w:r>
      <w:r w:rsidR="00FE6371">
        <w:t>nonspecific</w:t>
      </w:r>
      <w:r w:rsidR="009F55C3">
        <w:t xml:space="preserve"> antibody binding, blocking solution was applied. A primary anti-TGIF1 antibody then attached to TGIF1, in order to detect the protein of interest a secondary antibody connected to a fluorophore </w:t>
      </w:r>
      <w:r w:rsidR="00FE6371">
        <w:t>was attached</w:t>
      </w:r>
      <w:r w:rsidR="009F55C3">
        <w:t xml:space="preserve"> to the primary anti-TGIF1 antibody. Since fluorophore conjugated antibodies were being used, the membrane was scanned by special equipment that detected and documented the fluorophore signal.</w:t>
      </w:r>
    </w:p>
    <w:p w14:paraId="66964D5A" w14:textId="77777777" w:rsidR="00B66594" w:rsidRDefault="00B66594"/>
    <w:p w14:paraId="1BA92F0D" w14:textId="62AB7437" w:rsidR="00E61D81" w:rsidRDefault="009F55C3">
      <w:pPr>
        <w:rPr>
          <w:b/>
        </w:rPr>
      </w:pPr>
      <w:bookmarkStart w:id="0" w:name="_GoBack"/>
      <w:bookmarkEnd w:id="0"/>
      <w:r>
        <w:rPr>
          <w:b/>
        </w:rPr>
        <w:lastRenderedPageBreak/>
        <w:t>III</w:t>
      </w:r>
      <w:r w:rsidR="00AC3C6B">
        <w:rPr>
          <w:b/>
        </w:rPr>
        <w:t>.</w:t>
      </w:r>
      <w:r>
        <w:rPr>
          <w:b/>
        </w:rPr>
        <w:t xml:space="preserve"> Discussion: </w:t>
      </w:r>
    </w:p>
    <w:p w14:paraId="703B380F" w14:textId="2AE289DE" w:rsidR="00C26006" w:rsidRDefault="00C26006">
      <w:pPr>
        <w:rPr>
          <w:b/>
        </w:rPr>
      </w:pPr>
    </w:p>
    <w:p w14:paraId="4CC768DF" w14:textId="2A19FB22" w:rsidR="00E61D81" w:rsidRDefault="00C26006">
      <w:r>
        <w:t>If this experiment is to be executed</w:t>
      </w:r>
      <w:r w:rsidR="004C6510">
        <w:t>, the expression levels of TGIF1 between the two experimental groups should be significant</w:t>
      </w:r>
      <w:r w:rsidR="0001382B">
        <w:t>ly</w:t>
      </w:r>
      <w:r w:rsidR="004C6510">
        <w:t xml:space="preserve"> </w:t>
      </w:r>
      <w:r w:rsidR="008C484D">
        <w:t xml:space="preserve">different </w:t>
      </w:r>
      <w:r w:rsidR="004C6510">
        <w:t xml:space="preserve">when there is overexpression of TGF-β. </w:t>
      </w:r>
      <w:r w:rsidR="00F93D64">
        <w:t xml:space="preserve">For </w:t>
      </w:r>
      <w:r w:rsidR="00CB39D7">
        <w:t xml:space="preserve">the experimental group where there </w:t>
      </w:r>
      <w:r w:rsidR="00F93D64">
        <w:t>are</w:t>
      </w:r>
      <w:r w:rsidR="00CB39D7">
        <w:t xml:space="preserve"> TGF-β</w:t>
      </w:r>
      <w:r w:rsidR="00F93D64">
        <w:t xml:space="preserve"> plasmids</w:t>
      </w:r>
      <w:r w:rsidR="00CB39D7">
        <w:t xml:space="preserve"> and doxycycline</w:t>
      </w:r>
      <w:r w:rsidR="008C484D">
        <w:t xml:space="preserve"> (D</w:t>
      </w:r>
      <w:r w:rsidR="00F93D64">
        <w:t>ox</w:t>
      </w:r>
      <w:r w:rsidR="008C484D">
        <w:t>+), we would expect to see a dark band for TGF-β, due to overexpression, and a light band for TGIF1 for the western blot. The light band would indicate that in the presence of TGF-β overexpression, the expression of TGIF1 is inhibited</w:t>
      </w:r>
      <w:r w:rsidR="0087128D">
        <w:t xml:space="preserve">, this indicates that TGIF1 has loss it’s ability as a tumor </w:t>
      </w:r>
      <w:r w:rsidR="0001382B">
        <w:t>suppressor</w:t>
      </w:r>
      <w:r w:rsidR="008C484D">
        <w:t xml:space="preserve">. </w:t>
      </w:r>
      <w:r w:rsidR="00F93D64">
        <w:t xml:space="preserve">The second experimental group with TGF-β plasmids and no doxycycline (Dox-) would expect to have a light band for TGF-β and a dark band for TGIF1. This would indicate that when there is no overexpression of TGF-β, the expression of TGIF1 is not inhibited. Both control groups with empty plasmids that are Dox+ and Dox- are both expected to have the same light band for TGF-β since expression </w:t>
      </w:r>
      <w:r w:rsidR="00A3187F">
        <w:t xml:space="preserve">is </w:t>
      </w:r>
      <w:r w:rsidR="00F93D64">
        <w:t xml:space="preserve">not being induced, </w:t>
      </w:r>
      <w:r w:rsidR="00A3187F">
        <w:t>TGIF1 should have a dark band, expression is expected not to be inhibited.  The results would indicate that the plasmids did work, because a plasmid without TGF-β inserted should not express TGF-β. If both empty plasmids from both control groups were exhibit TGF-β overexpression, that would mean that the plasmids did not work, results from the experimental groups would be invalid.</w:t>
      </w:r>
    </w:p>
    <w:p w14:paraId="0AD4DF61" w14:textId="238A47CF" w:rsidR="0030177B" w:rsidRDefault="0030177B"/>
    <w:p w14:paraId="6E41B5CB" w14:textId="6081CE6E" w:rsidR="00A3187F" w:rsidRDefault="0030177B">
      <w:r>
        <w:t xml:space="preserve">One of the pitfalls that might be encountered </w:t>
      </w:r>
      <w:r w:rsidR="00EA3FEE">
        <w:t xml:space="preserve">in this experiment is PCR. </w:t>
      </w:r>
      <w:r w:rsidR="00207149">
        <w:t>T</w:t>
      </w:r>
      <w:r w:rsidR="00EA3FEE">
        <w:t xml:space="preserve">he plasmids </w:t>
      </w:r>
      <w:r w:rsidR="00522CA4">
        <w:t xml:space="preserve">that are being generated from PCR might not contain TGF-β. This could do be due to the millions of copies that are being generated during this process. In order to make sure that the PCR </w:t>
      </w:r>
      <w:r w:rsidR="00C63D8B">
        <w:t xml:space="preserve">works </w:t>
      </w:r>
      <w:r w:rsidR="00522CA4">
        <w:t>and to make sure that the plasmids do contain TGF-β, gel electrophoresis</w:t>
      </w:r>
      <w:r w:rsidR="00C63D8B">
        <w:t xml:space="preserve"> can be done</w:t>
      </w:r>
      <w:r w:rsidR="00522CA4">
        <w:t xml:space="preserve">. This technique allows for </w:t>
      </w:r>
      <w:r w:rsidR="005260A0">
        <w:t xml:space="preserve">DNA </w:t>
      </w:r>
      <w:r w:rsidR="00522CA4">
        <w:t>to be separated by their charge and size</w:t>
      </w:r>
      <w:r w:rsidR="005260A0">
        <w:t xml:space="preserve">. A large band would mean that the PCR is successful, since it would mean that there is TGF-β overexpression. </w:t>
      </w:r>
    </w:p>
    <w:p w14:paraId="1D70B3DB" w14:textId="07B09E9F" w:rsidR="00F96474" w:rsidRDefault="00F96474"/>
    <w:p w14:paraId="582D718B" w14:textId="286FC76D" w:rsidR="005260A0" w:rsidRDefault="005D3F16">
      <w:r>
        <w:t xml:space="preserve">It’s </w:t>
      </w:r>
      <w:r w:rsidR="00BD6BBA">
        <w:t xml:space="preserve">important to note that in this experiment the western blot targeted specific proteins that were in pancreas </w:t>
      </w:r>
      <w:r w:rsidR="00B70027">
        <w:t xml:space="preserve">cells, among a mixture of other proteins. </w:t>
      </w:r>
      <w:r w:rsidR="001D5DD0">
        <w:t xml:space="preserve">It’s difficult to </w:t>
      </w:r>
      <w:r w:rsidR="00741CD0">
        <w:t xml:space="preserve">interpret whether or not </w:t>
      </w:r>
      <w:r w:rsidR="00B21AAF">
        <w:t xml:space="preserve">the overexpression of </w:t>
      </w:r>
      <w:r w:rsidR="00A857A8">
        <w:t xml:space="preserve">TGF-β is the reason why TGIF1 is inhibited. </w:t>
      </w:r>
      <w:r w:rsidR="00F43095">
        <w:t xml:space="preserve">Overexpression of TGF-β can </w:t>
      </w:r>
      <w:r w:rsidR="00261FC6">
        <w:t xml:space="preserve">inhibit </w:t>
      </w:r>
      <w:r w:rsidR="00974FAA">
        <w:t>other</w:t>
      </w:r>
      <w:r w:rsidR="006D6659">
        <w:t xml:space="preserve"> genes that are upstream or downstream from either TGIF1 </w:t>
      </w:r>
      <w:r w:rsidR="00710922">
        <w:t>or</w:t>
      </w:r>
      <w:r w:rsidR="006D6659">
        <w:t xml:space="preserve"> TGF-β</w:t>
      </w:r>
      <w:r w:rsidR="00261FC6">
        <w:t xml:space="preserve">. </w:t>
      </w:r>
      <w:r w:rsidR="007B28C8">
        <w:t>Knowing that TGF-β overexpression</w:t>
      </w:r>
      <w:r w:rsidR="005B20AB">
        <w:t xml:space="preserve"> inhibits TGIF1 </w:t>
      </w:r>
      <w:r w:rsidR="007A4F3A">
        <w:t xml:space="preserve">as a tumor suppressor in PDAC </w:t>
      </w:r>
      <w:r w:rsidR="005B20AB">
        <w:t xml:space="preserve">can help </w:t>
      </w:r>
      <w:r w:rsidR="00A24E35">
        <w:t xml:space="preserve">further understand other mechanisms that activate the formation of pancreatic </w:t>
      </w:r>
      <w:r w:rsidR="006D58E1">
        <w:t xml:space="preserve">ductal adenocarcinoma. </w:t>
      </w:r>
    </w:p>
    <w:p w14:paraId="190F0EF4" w14:textId="02F7118A" w:rsidR="00E61D81" w:rsidRDefault="00E61D81"/>
    <w:p w14:paraId="71BD553E" w14:textId="77777777" w:rsidR="00E61D81" w:rsidRDefault="00E61D81">
      <w:pPr>
        <w:rPr>
          <w:b/>
        </w:rPr>
      </w:pPr>
    </w:p>
    <w:p w14:paraId="364FCCDB" w14:textId="77777777" w:rsidR="008F0C8E" w:rsidRDefault="008F0C8E">
      <w:pPr>
        <w:rPr>
          <w:b/>
        </w:rPr>
      </w:pPr>
    </w:p>
    <w:p w14:paraId="711D750C" w14:textId="77777777" w:rsidR="009250FC" w:rsidRDefault="009250FC">
      <w:pPr>
        <w:rPr>
          <w:b/>
        </w:rPr>
      </w:pPr>
    </w:p>
    <w:p w14:paraId="7C691DC3" w14:textId="77777777" w:rsidR="009250FC" w:rsidRDefault="009250FC">
      <w:pPr>
        <w:rPr>
          <w:b/>
        </w:rPr>
      </w:pPr>
    </w:p>
    <w:p w14:paraId="2A58CB55" w14:textId="77777777" w:rsidR="009250FC" w:rsidRDefault="009250FC">
      <w:pPr>
        <w:rPr>
          <w:b/>
        </w:rPr>
      </w:pPr>
    </w:p>
    <w:p w14:paraId="00B8F7C1" w14:textId="77777777" w:rsidR="009250FC" w:rsidRDefault="009250FC">
      <w:pPr>
        <w:rPr>
          <w:b/>
        </w:rPr>
      </w:pPr>
    </w:p>
    <w:p w14:paraId="10377B9C" w14:textId="77777777" w:rsidR="009250FC" w:rsidRDefault="009250FC">
      <w:pPr>
        <w:rPr>
          <w:b/>
        </w:rPr>
      </w:pPr>
    </w:p>
    <w:p w14:paraId="47CC62C1" w14:textId="77777777" w:rsidR="009250FC" w:rsidRDefault="009250FC">
      <w:pPr>
        <w:rPr>
          <w:b/>
        </w:rPr>
      </w:pPr>
    </w:p>
    <w:p w14:paraId="0DA5AE5E" w14:textId="77777777" w:rsidR="009250FC" w:rsidRDefault="009250FC">
      <w:pPr>
        <w:rPr>
          <w:b/>
        </w:rPr>
      </w:pPr>
    </w:p>
    <w:p w14:paraId="4B2CCD2C" w14:textId="77777777" w:rsidR="009250FC" w:rsidRDefault="009250FC">
      <w:pPr>
        <w:rPr>
          <w:b/>
        </w:rPr>
      </w:pPr>
    </w:p>
    <w:p w14:paraId="60DEAE71" w14:textId="77777777" w:rsidR="009250FC" w:rsidRDefault="009250FC">
      <w:pPr>
        <w:rPr>
          <w:b/>
        </w:rPr>
      </w:pPr>
    </w:p>
    <w:p w14:paraId="4CEEC4C7" w14:textId="77777777" w:rsidR="00E807D4" w:rsidRDefault="00E807D4">
      <w:pPr>
        <w:rPr>
          <w:b/>
        </w:rPr>
      </w:pPr>
    </w:p>
    <w:p w14:paraId="662F1BDD" w14:textId="77777777" w:rsidR="008F496E" w:rsidRDefault="008F496E">
      <w:pPr>
        <w:rPr>
          <w:b/>
        </w:rPr>
      </w:pPr>
    </w:p>
    <w:p w14:paraId="7A370677" w14:textId="77777777" w:rsidR="008F496E" w:rsidRDefault="008F496E">
      <w:pPr>
        <w:rPr>
          <w:b/>
        </w:rPr>
      </w:pPr>
    </w:p>
    <w:p w14:paraId="6F5FB2B7" w14:textId="2C000F59" w:rsidR="00E61D81" w:rsidRDefault="009F55C3">
      <w:pPr>
        <w:rPr>
          <w:b/>
        </w:rPr>
      </w:pPr>
      <w:r>
        <w:rPr>
          <w:b/>
        </w:rPr>
        <w:lastRenderedPageBreak/>
        <w:t>References</w:t>
      </w:r>
    </w:p>
    <w:p w14:paraId="14E6D82F" w14:textId="77777777" w:rsidR="00B00219" w:rsidRPr="00061700" w:rsidRDefault="00B00219">
      <w:pPr>
        <w:rPr>
          <w:b/>
          <w:sz w:val="20"/>
          <w:szCs w:val="20"/>
        </w:rPr>
      </w:pPr>
    </w:p>
    <w:p w14:paraId="566AE309" w14:textId="37A4DBA2" w:rsidR="006201B5" w:rsidRPr="00061700" w:rsidRDefault="00BF121F" w:rsidP="00155951">
      <w:pPr>
        <w:pStyle w:val="ListParagraph"/>
        <w:numPr>
          <w:ilvl w:val="0"/>
          <w:numId w:val="1"/>
        </w:numPr>
        <w:spacing w:line="240" w:lineRule="auto"/>
        <w:rPr>
          <w:rFonts w:ascii="Times New Roman" w:eastAsia="Times New Roman" w:hAnsi="Times New Roman" w:cs="Times New Roman"/>
          <w:sz w:val="20"/>
          <w:szCs w:val="20"/>
          <w:lang w:val="en-US"/>
        </w:rPr>
      </w:pPr>
      <w:r w:rsidRPr="00061700">
        <w:rPr>
          <w:rFonts w:ascii="Times New Roman" w:eastAsia="Times New Roman" w:hAnsi="Times New Roman" w:cs="Times New Roman"/>
          <w:color w:val="3A3A3A"/>
          <w:sz w:val="20"/>
          <w:szCs w:val="20"/>
          <w:shd w:val="clear" w:color="auto" w:fill="FFFFFF"/>
          <w:lang w:val="en-US"/>
        </w:rPr>
        <w:t xml:space="preserve">Parajuli, </w:t>
      </w:r>
      <w:proofErr w:type="spellStart"/>
      <w:r w:rsidRPr="00061700">
        <w:rPr>
          <w:rFonts w:ascii="Times New Roman" w:eastAsia="Times New Roman" w:hAnsi="Times New Roman" w:cs="Times New Roman"/>
          <w:color w:val="3A3A3A"/>
          <w:sz w:val="20"/>
          <w:szCs w:val="20"/>
          <w:shd w:val="clear" w:color="auto" w:fill="FFFFFF"/>
          <w:lang w:val="en-US"/>
        </w:rPr>
        <w:t>Parash</w:t>
      </w:r>
      <w:proofErr w:type="spellEnd"/>
      <w:r w:rsidRPr="00061700">
        <w:rPr>
          <w:rFonts w:ascii="Times New Roman" w:eastAsia="Times New Roman" w:hAnsi="Times New Roman" w:cs="Times New Roman"/>
          <w:color w:val="3A3A3A"/>
          <w:sz w:val="20"/>
          <w:szCs w:val="20"/>
          <w:shd w:val="clear" w:color="auto" w:fill="FFFFFF"/>
          <w:lang w:val="en-US"/>
        </w:rPr>
        <w:t xml:space="preserve">, </w:t>
      </w:r>
      <w:proofErr w:type="spellStart"/>
      <w:r w:rsidRPr="00061700">
        <w:rPr>
          <w:rFonts w:ascii="Times New Roman" w:eastAsia="Times New Roman" w:hAnsi="Times New Roman" w:cs="Times New Roman"/>
          <w:color w:val="3A3A3A"/>
          <w:sz w:val="20"/>
          <w:szCs w:val="20"/>
          <w:shd w:val="clear" w:color="auto" w:fill="FFFFFF"/>
          <w:lang w:val="en-US"/>
        </w:rPr>
        <w:t>Purba</w:t>
      </w:r>
      <w:proofErr w:type="spellEnd"/>
      <w:r w:rsidRPr="00061700">
        <w:rPr>
          <w:rFonts w:ascii="Times New Roman" w:eastAsia="Times New Roman" w:hAnsi="Times New Roman" w:cs="Times New Roman"/>
          <w:color w:val="3A3A3A"/>
          <w:sz w:val="20"/>
          <w:szCs w:val="20"/>
          <w:shd w:val="clear" w:color="auto" w:fill="FFFFFF"/>
          <w:lang w:val="en-US"/>
        </w:rPr>
        <w:t xml:space="preserve"> Singh, </w:t>
      </w:r>
      <w:proofErr w:type="spellStart"/>
      <w:r w:rsidRPr="00061700">
        <w:rPr>
          <w:rFonts w:ascii="Times New Roman" w:eastAsia="Times New Roman" w:hAnsi="Times New Roman" w:cs="Times New Roman"/>
          <w:color w:val="3A3A3A"/>
          <w:sz w:val="20"/>
          <w:szCs w:val="20"/>
          <w:shd w:val="clear" w:color="auto" w:fill="FFFFFF"/>
          <w:lang w:val="en-US"/>
        </w:rPr>
        <w:t>Zhe</w:t>
      </w:r>
      <w:proofErr w:type="spellEnd"/>
      <w:r w:rsidRPr="00061700">
        <w:rPr>
          <w:rFonts w:ascii="Times New Roman" w:eastAsia="Times New Roman" w:hAnsi="Times New Roman" w:cs="Times New Roman"/>
          <w:color w:val="3A3A3A"/>
          <w:sz w:val="20"/>
          <w:szCs w:val="20"/>
          <w:shd w:val="clear" w:color="auto" w:fill="FFFFFF"/>
          <w:lang w:val="en-US"/>
        </w:rPr>
        <w:t xml:space="preserve"> Wang, </w:t>
      </w:r>
      <w:proofErr w:type="spellStart"/>
      <w:r w:rsidRPr="00061700">
        <w:rPr>
          <w:rFonts w:ascii="Times New Roman" w:eastAsia="Times New Roman" w:hAnsi="Times New Roman" w:cs="Times New Roman"/>
          <w:color w:val="3A3A3A"/>
          <w:sz w:val="20"/>
          <w:szCs w:val="20"/>
          <w:shd w:val="clear" w:color="auto" w:fill="FFFFFF"/>
          <w:lang w:val="en-US"/>
        </w:rPr>
        <w:t>Lianna</w:t>
      </w:r>
      <w:proofErr w:type="spellEnd"/>
      <w:r w:rsidRPr="00061700">
        <w:rPr>
          <w:rFonts w:ascii="Times New Roman" w:eastAsia="Times New Roman" w:hAnsi="Times New Roman" w:cs="Times New Roman"/>
          <w:color w:val="3A3A3A"/>
          <w:sz w:val="20"/>
          <w:szCs w:val="20"/>
          <w:shd w:val="clear" w:color="auto" w:fill="FFFFFF"/>
          <w:lang w:val="en-US"/>
        </w:rPr>
        <w:t xml:space="preserve"> Li, Sailaja </w:t>
      </w:r>
      <w:proofErr w:type="spellStart"/>
      <w:r w:rsidRPr="00061700">
        <w:rPr>
          <w:rFonts w:ascii="Times New Roman" w:eastAsia="Times New Roman" w:hAnsi="Times New Roman" w:cs="Times New Roman"/>
          <w:color w:val="3A3A3A"/>
          <w:sz w:val="20"/>
          <w:szCs w:val="20"/>
          <w:shd w:val="clear" w:color="auto" w:fill="FFFFFF"/>
          <w:lang w:val="en-US"/>
        </w:rPr>
        <w:t>Eragamreddi</w:t>
      </w:r>
      <w:proofErr w:type="spellEnd"/>
      <w:r w:rsidRPr="00061700">
        <w:rPr>
          <w:rFonts w:ascii="Times New Roman" w:eastAsia="Times New Roman" w:hAnsi="Times New Roman" w:cs="Times New Roman"/>
          <w:color w:val="3A3A3A"/>
          <w:sz w:val="20"/>
          <w:szCs w:val="20"/>
          <w:shd w:val="clear" w:color="auto" w:fill="FFFFFF"/>
          <w:lang w:val="en-US"/>
        </w:rPr>
        <w:t xml:space="preserve">, </w:t>
      </w:r>
      <w:proofErr w:type="spellStart"/>
      <w:r w:rsidRPr="00061700">
        <w:rPr>
          <w:rFonts w:ascii="Times New Roman" w:eastAsia="Times New Roman" w:hAnsi="Times New Roman" w:cs="Times New Roman"/>
          <w:color w:val="3A3A3A"/>
          <w:sz w:val="20"/>
          <w:szCs w:val="20"/>
          <w:shd w:val="clear" w:color="auto" w:fill="FFFFFF"/>
          <w:lang w:val="en-US"/>
        </w:rPr>
        <w:t>Seval</w:t>
      </w:r>
      <w:proofErr w:type="spellEnd"/>
      <w:r w:rsidRPr="00061700">
        <w:rPr>
          <w:rFonts w:ascii="Times New Roman" w:eastAsia="Times New Roman" w:hAnsi="Times New Roman" w:cs="Times New Roman"/>
          <w:color w:val="3A3A3A"/>
          <w:sz w:val="20"/>
          <w:szCs w:val="20"/>
          <w:shd w:val="clear" w:color="auto" w:fill="FFFFFF"/>
          <w:lang w:val="en-US"/>
        </w:rPr>
        <w:t xml:space="preserve"> </w:t>
      </w:r>
      <w:proofErr w:type="spellStart"/>
      <w:r w:rsidRPr="00061700">
        <w:rPr>
          <w:rFonts w:ascii="Times New Roman" w:eastAsia="Times New Roman" w:hAnsi="Times New Roman" w:cs="Times New Roman"/>
          <w:color w:val="3A3A3A"/>
          <w:sz w:val="20"/>
          <w:szCs w:val="20"/>
          <w:shd w:val="clear" w:color="auto" w:fill="FFFFFF"/>
          <w:lang w:val="en-US"/>
        </w:rPr>
        <w:t>Ozkan</w:t>
      </w:r>
      <w:proofErr w:type="spellEnd"/>
      <w:r w:rsidRPr="00061700">
        <w:rPr>
          <w:rFonts w:ascii="Times New Roman" w:eastAsia="Times New Roman" w:hAnsi="Times New Roman" w:cs="Times New Roman"/>
          <w:color w:val="3A3A3A"/>
          <w:sz w:val="20"/>
          <w:szCs w:val="20"/>
          <w:shd w:val="clear" w:color="auto" w:fill="FFFFFF"/>
          <w:lang w:val="en-US"/>
        </w:rPr>
        <w:t xml:space="preserve">, Olivier Ferrigno, Celine </w:t>
      </w:r>
      <w:proofErr w:type="spellStart"/>
      <w:r w:rsidRPr="00061700">
        <w:rPr>
          <w:rFonts w:ascii="Times New Roman" w:eastAsia="Times New Roman" w:hAnsi="Times New Roman" w:cs="Times New Roman"/>
          <w:color w:val="3A3A3A"/>
          <w:sz w:val="20"/>
          <w:szCs w:val="20"/>
          <w:shd w:val="clear" w:color="auto" w:fill="FFFFFF"/>
          <w:lang w:val="en-US"/>
        </w:rPr>
        <w:t>Prunier</w:t>
      </w:r>
      <w:proofErr w:type="spellEnd"/>
      <w:r w:rsidRPr="00061700">
        <w:rPr>
          <w:rFonts w:ascii="Times New Roman" w:eastAsia="Times New Roman" w:hAnsi="Times New Roman" w:cs="Times New Roman"/>
          <w:color w:val="3A3A3A"/>
          <w:sz w:val="20"/>
          <w:szCs w:val="20"/>
          <w:shd w:val="clear" w:color="auto" w:fill="FFFFFF"/>
          <w:lang w:val="en-US"/>
        </w:rPr>
        <w:t xml:space="preserve">, Mohammed S </w:t>
      </w:r>
      <w:proofErr w:type="spellStart"/>
      <w:r w:rsidRPr="00061700">
        <w:rPr>
          <w:rFonts w:ascii="Times New Roman" w:eastAsia="Times New Roman" w:hAnsi="Times New Roman" w:cs="Times New Roman"/>
          <w:color w:val="3A3A3A"/>
          <w:sz w:val="20"/>
          <w:szCs w:val="20"/>
          <w:shd w:val="clear" w:color="auto" w:fill="FFFFFF"/>
          <w:lang w:val="en-US"/>
        </w:rPr>
        <w:t>Razzaque</w:t>
      </w:r>
      <w:proofErr w:type="spellEnd"/>
      <w:r w:rsidRPr="00061700">
        <w:rPr>
          <w:rFonts w:ascii="Times New Roman" w:eastAsia="Times New Roman" w:hAnsi="Times New Roman" w:cs="Times New Roman"/>
          <w:color w:val="3A3A3A"/>
          <w:sz w:val="20"/>
          <w:szCs w:val="20"/>
          <w:shd w:val="clear" w:color="auto" w:fill="FFFFFF"/>
          <w:lang w:val="en-US"/>
        </w:rPr>
        <w:t xml:space="preserve">, Keli Xu, and </w:t>
      </w:r>
      <w:proofErr w:type="spellStart"/>
      <w:r w:rsidRPr="00061700">
        <w:rPr>
          <w:rFonts w:ascii="Times New Roman" w:eastAsia="Times New Roman" w:hAnsi="Times New Roman" w:cs="Times New Roman"/>
          <w:color w:val="3A3A3A"/>
          <w:sz w:val="20"/>
          <w:szCs w:val="20"/>
          <w:shd w:val="clear" w:color="auto" w:fill="FFFFFF"/>
          <w:lang w:val="en-US"/>
        </w:rPr>
        <w:t>Azeddine</w:t>
      </w:r>
      <w:proofErr w:type="spellEnd"/>
      <w:r w:rsidRPr="00061700">
        <w:rPr>
          <w:rFonts w:ascii="Times New Roman" w:eastAsia="Times New Roman" w:hAnsi="Times New Roman" w:cs="Times New Roman"/>
          <w:color w:val="3A3A3A"/>
          <w:sz w:val="20"/>
          <w:szCs w:val="20"/>
          <w:shd w:val="clear" w:color="auto" w:fill="FFFFFF"/>
          <w:lang w:val="en-US"/>
        </w:rPr>
        <w:t xml:space="preserve"> </w:t>
      </w:r>
      <w:proofErr w:type="spellStart"/>
      <w:r w:rsidRPr="00061700">
        <w:rPr>
          <w:rFonts w:ascii="Times New Roman" w:eastAsia="Times New Roman" w:hAnsi="Times New Roman" w:cs="Times New Roman"/>
          <w:color w:val="3A3A3A"/>
          <w:sz w:val="20"/>
          <w:szCs w:val="20"/>
          <w:shd w:val="clear" w:color="auto" w:fill="FFFFFF"/>
          <w:lang w:val="en-US"/>
        </w:rPr>
        <w:t>Atfi</w:t>
      </w:r>
      <w:proofErr w:type="spellEnd"/>
      <w:r w:rsidR="000C4DA5" w:rsidRPr="00061700">
        <w:rPr>
          <w:rFonts w:ascii="Times New Roman" w:eastAsia="Times New Roman" w:hAnsi="Times New Roman" w:cs="Times New Roman"/>
          <w:color w:val="3A3A3A"/>
          <w:sz w:val="20"/>
          <w:szCs w:val="20"/>
          <w:shd w:val="clear" w:color="auto" w:fill="FFFFFF"/>
          <w:lang w:val="en-US"/>
        </w:rPr>
        <w:t xml:space="preserve"> (2019)</w:t>
      </w:r>
      <w:r w:rsidRPr="00061700">
        <w:rPr>
          <w:rFonts w:ascii="Times New Roman" w:eastAsia="Times New Roman" w:hAnsi="Times New Roman" w:cs="Times New Roman"/>
          <w:color w:val="3A3A3A"/>
          <w:sz w:val="20"/>
          <w:szCs w:val="20"/>
          <w:shd w:val="clear" w:color="auto" w:fill="FFFFFF"/>
          <w:lang w:val="en-US"/>
        </w:rPr>
        <w:t>. "TGIF1 Functions as a Tumor Suppressor in Pancreatic Ductal Adenocarcinoma." </w:t>
      </w:r>
      <w:r w:rsidRPr="00061700">
        <w:rPr>
          <w:rFonts w:ascii="Times New Roman" w:eastAsia="Times New Roman" w:hAnsi="Times New Roman" w:cs="Times New Roman"/>
          <w:i/>
          <w:iCs/>
          <w:color w:val="3A3A3A"/>
          <w:sz w:val="20"/>
          <w:szCs w:val="20"/>
          <w:shd w:val="clear" w:color="auto" w:fill="FFFFFF"/>
          <w:lang w:val="en-US"/>
        </w:rPr>
        <w:t>EMBO Journal</w:t>
      </w:r>
      <w:r w:rsidRPr="00061700">
        <w:rPr>
          <w:rFonts w:ascii="Times New Roman" w:eastAsia="Times New Roman" w:hAnsi="Times New Roman" w:cs="Times New Roman"/>
          <w:color w:val="3A3A3A"/>
          <w:sz w:val="20"/>
          <w:szCs w:val="20"/>
          <w:shd w:val="clear" w:color="auto" w:fill="FFFFFF"/>
          <w:lang w:val="en-US"/>
        </w:rPr>
        <w:t xml:space="preserve"> 38.13 </w:t>
      </w:r>
    </w:p>
    <w:p w14:paraId="2A20F36D" w14:textId="176A3573" w:rsidR="006201B5" w:rsidRPr="00061700" w:rsidRDefault="00B96B1E" w:rsidP="00155951">
      <w:pPr>
        <w:pStyle w:val="ListParagraph"/>
        <w:numPr>
          <w:ilvl w:val="0"/>
          <w:numId w:val="1"/>
        </w:numPr>
        <w:spacing w:line="240" w:lineRule="auto"/>
        <w:rPr>
          <w:rFonts w:ascii="Times New Roman" w:eastAsia="Times New Roman" w:hAnsi="Times New Roman" w:cs="Times New Roman"/>
          <w:sz w:val="20"/>
          <w:szCs w:val="20"/>
          <w:lang w:val="en-US"/>
        </w:rPr>
      </w:pPr>
      <w:proofErr w:type="spellStart"/>
      <w:r w:rsidRPr="00061700">
        <w:rPr>
          <w:rFonts w:ascii="Times New Roman" w:eastAsia="Times New Roman" w:hAnsi="Times New Roman" w:cs="Times New Roman"/>
          <w:color w:val="3A3A3A"/>
          <w:sz w:val="20"/>
          <w:szCs w:val="20"/>
          <w:shd w:val="clear" w:color="auto" w:fill="FFFFFF"/>
          <w:lang w:val="en-US"/>
        </w:rPr>
        <w:t>Hingorani</w:t>
      </w:r>
      <w:proofErr w:type="spellEnd"/>
      <w:r w:rsidRPr="00061700">
        <w:rPr>
          <w:rFonts w:ascii="Times New Roman" w:eastAsia="Times New Roman" w:hAnsi="Times New Roman" w:cs="Times New Roman"/>
          <w:color w:val="3A3A3A"/>
          <w:sz w:val="20"/>
          <w:szCs w:val="20"/>
          <w:shd w:val="clear" w:color="auto" w:fill="FFFFFF"/>
          <w:lang w:val="en-US"/>
        </w:rPr>
        <w:t xml:space="preserve">, Sunil R, </w:t>
      </w:r>
      <w:proofErr w:type="spellStart"/>
      <w:r w:rsidRPr="00061700">
        <w:rPr>
          <w:rFonts w:ascii="Times New Roman" w:eastAsia="Times New Roman" w:hAnsi="Times New Roman" w:cs="Times New Roman"/>
          <w:color w:val="3A3A3A"/>
          <w:sz w:val="20"/>
          <w:szCs w:val="20"/>
          <w:shd w:val="clear" w:color="auto" w:fill="FFFFFF"/>
          <w:lang w:val="en-US"/>
        </w:rPr>
        <w:t>Lifu</w:t>
      </w:r>
      <w:proofErr w:type="spellEnd"/>
      <w:r w:rsidRPr="00061700">
        <w:rPr>
          <w:rFonts w:ascii="Times New Roman" w:eastAsia="Times New Roman" w:hAnsi="Times New Roman" w:cs="Times New Roman"/>
          <w:color w:val="3A3A3A"/>
          <w:sz w:val="20"/>
          <w:szCs w:val="20"/>
          <w:shd w:val="clear" w:color="auto" w:fill="FFFFFF"/>
          <w:lang w:val="en-US"/>
        </w:rPr>
        <w:t xml:space="preserve"> Wang, Asha S Multani, Chelsea Combs, Therese B </w:t>
      </w:r>
      <w:proofErr w:type="spellStart"/>
      <w:r w:rsidRPr="00061700">
        <w:rPr>
          <w:rFonts w:ascii="Times New Roman" w:eastAsia="Times New Roman" w:hAnsi="Times New Roman" w:cs="Times New Roman"/>
          <w:color w:val="3A3A3A"/>
          <w:sz w:val="20"/>
          <w:szCs w:val="20"/>
          <w:shd w:val="clear" w:color="auto" w:fill="FFFFFF"/>
          <w:lang w:val="en-US"/>
        </w:rPr>
        <w:t>Deramaudt</w:t>
      </w:r>
      <w:proofErr w:type="spellEnd"/>
      <w:r w:rsidRPr="00061700">
        <w:rPr>
          <w:rFonts w:ascii="Times New Roman" w:eastAsia="Times New Roman" w:hAnsi="Times New Roman" w:cs="Times New Roman"/>
          <w:color w:val="3A3A3A"/>
          <w:sz w:val="20"/>
          <w:szCs w:val="20"/>
          <w:shd w:val="clear" w:color="auto" w:fill="FFFFFF"/>
          <w:lang w:val="en-US"/>
        </w:rPr>
        <w:t xml:space="preserve">, Ralph H </w:t>
      </w:r>
      <w:proofErr w:type="spellStart"/>
      <w:r w:rsidRPr="00061700">
        <w:rPr>
          <w:rFonts w:ascii="Times New Roman" w:eastAsia="Times New Roman" w:hAnsi="Times New Roman" w:cs="Times New Roman"/>
          <w:color w:val="3A3A3A"/>
          <w:sz w:val="20"/>
          <w:szCs w:val="20"/>
          <w:shd w:val="clear" w:color="auto" w:fill="FFFFFF"/>
          <w:lang w:val="en-US"/>
        </w:rPr>
        <w:t>Hruban</w:t>
      </w:r>
      <w:proofErr w:type="spellEnd"/>
      <w:r w:rsidRPr="00061700">
        <w:rPr>
          <w:rFonts w:ascii="Times New Roman" w:eastAsia="Times New Roman" w:hAnsi="Times New Roman" w:cs="Times New Roman"/>
          <w:color w:val="3A3A3A"/>
          <w:sz w:val="20"/>
          <w:szCs w:val="20"/>
          <w:shd w:val="clear" w:color="auto" w:fill="FFFFFF"/>
          <w:lang w:val="en-US"/>
        </w:rPr>
        <w:t xml:space="preserve">, Anil K </w:t>
      </w:r>
      <w:proofErr w:type="spellStart"/>
      <w:r w:rsidRPr="00061700">
        <w:rPr>
          <w:rFonts w:ascii="Times New Roman" w:eastAsia="Times New Roman" w:hAnsi="Times New Roman" w:cs="Times New Roman"/>
          <w:color w:val="3A3A3A"/>
          <w:sz w:val="20"/>
          <w:szCs w:val="20"/>
          <w:shd w:val="clear" w:color="auto" w:fill="FFFFFF"/>
          <w:lang w:val="en-US"/>
        </w:rPr>
        <w:t>Rustgi</w:t>
      </w:r>
      <w:proofErr w:type="spellEnd"/>
      <w:r w:rsidRPr="00061700">
        <w:rPr>
          <w:rFonts w:ascii="Times New Roman" w:eastAsia="Times New Roman" w:hAnsi="Times New Roman" w:cs="Times New Roman"/>
          <w:color w:val="3A3A3A"/>
          <w:sz w:val="20"/>
          <w:szCs w:val="20"/>
          <w:shd w:val="clear" w:color="auto" w:fill="FFFFFF"/>
          <w:lang w:val="en-US"/>
        </w:rPr>
        <w:t xml:space="preserve">, Sandy Chang, and David </w:t>
      </w:r>
      <w:proofErr w:type="gramStart"/>
      <w:r w:rsidRPr="00061700">
        <w:rPr>
          <w:rFonts w:ascii="Times New Roman" w:eastAsia="Times New Roman" w:hAnsi="Times New Roman" w:cs="Times New Roman"/>
          <w:color w:val="3A3A3A"/>
          <w:sz w:val="20"/>
          <w:szCs w:val="20"/>
          <w:shd w:val="clear" w:color="auto" w:fill="FFFFFF"/>
          <w:lang w:val="en-US"/>
        </w:rPr>
        <w:t>A</w:t>
      </w:r>
      <w:proofErr w:type="gramEnd"/>
      <w:r w:rsidRPr="00061700">
        <w:rPr>
          <w:rFonts w:ascii="Times New Roman" w:eastAsia="Times New Roman" w:hAnsi="Times New Roman" w:cs="Times New Roman"/>
          <w:color w:val="3A3A3A"/>
          <w:sz w:val="20"/>
          <w:szCs w:val="20"/>
          <w:shd w:val="clear" w:color="auto" w:fill="FFFFFF"/>
          <w:lang w:val="en-US"/>
        </w:rPr>
        <w:t xml:space="preserve"> </w:t>
      </w:r>
      <w:proofErr w:type="spellStart"/>
      <w:r w:rsidRPr="00061700">
        <w:rPr>
          <w:rFonts w:ascii="Times New Roman" w:eastAsia="Times New Roman" w:hAnsi="Times New Roman" w:cs="Times New Roman"/>
          <w:color w:val="3A3A3A"/>
          <w:sz w:val="20"/>
          <w:szCs w:val="20"/>
          <w:shd w:val="clear" w:color="auto" w:fill="FFFFFF"/>
          <w:lang w:val="en-US"/>
        </w:rPr>
        <w:t>Tuveson</w:t>
      </w:r>
      <w:proofErr w:type="spellEnd"/>
      <w:r w:rsidR="000C4DA5" w:rsidRPr="00061700">
        <w:rPr>
          <w:rFonts w:ascii="Times New Roman" w:eastAsia="Times New Roman" w:hAnsi="Times New Roman" w:cs="Times New Roman"/>
          <w:color w:val="3A3A3A"/>
          <w:sz w:val="20"/>
          <w:szCs w:val="20"/>
          <w:shd w:val="clear" w:color="auto" w:fill="FFFFFF"/>
          <w:lang w:val="en-US"/>
        </w:rPr>
        <w:t xml:space="preserve"> (2005)</w:t>
      </w:r>
      <w:r w:rsidRPr="00061700">
        <w:rPr>
          <w:rFonts w:ascii="Times New Roman" w:eastAsia="Times New Roman" w:hAnsi="Times New Roman" w:cs="Times New Roman"/>
          <w:color w:val="3A3A3A"/>
          <w:sz w:val="20"/>
          <w:szCs w:val="20"/>
          <w:shd w:val="clear" w:color="auto" w:fill="FFFFFF"/>
          <w:lang w:val="en-US"/>
        </w:rPr>
        <w:t xml:space="preserve">. "Trp53 R172H and </w:t>
      </w:r>
      <w:proofErr w:type="spellStart"/>
      <w:r w:rsidRPr="00061700">
        <w:rPr>
          <w:rFonts w:ascii="Times New Roman" w:eastAsia="Times New Roman" w:hAnsi="Times New Roman" w:cs="Times New Roman"/>
          <w:color w:val="3A3A3A"/>
          <w:sz w:val="20"/>
          <w:szCs w:val="20"/>
          <w:shd w:val="clear" w:color="auto" w:fill="FFFFFF"/>
          <w:lang w:val="en-US"/>
        </w:rPr>
        <w:t>Kras</w:t>
      </w:r>
      <w:proofErr w:type="spellEnd"/>
      <w:r w:rsidRPr="00061700">
        <w:rPr>
          <w:rFonts w:ascii="Times New Roman" w:eastAsia="Times New Roman" w:hAnsi="Times New Roman" w:cs="Times New Roman"/>
          <w:color w:val="3A3A3A"/>
          <w:sz w:val="20"/>
          <w:szCs w:val="20"/>
          <w:shd w:val="clear" w:color="auto" w:fill="FFFFFF"/>
          <w:lang w:val="en-US"/>
        </w:rPr>
        <w:t xml:space="preserve"> G12D Cooperate to Promote Chromosomal Instability and Widely Metastatic Pancreatic Ductal Adenocarcinoma in Mice." </w:t>
      </w:r>
      <w:r w:rsidRPr="00061700">
        <w:rPr>
          <w:rFonts w:ascii="Times New Roman" w:eastAsia="Times New Roman" w:hAnsi="Times New Roman" w:cs="Times New Roman"/>
          <w:i/>
          <w:iCs/>
          <w:color w:val="3A3A3A"/>
          <w:sz w:val="20"/>
          <w:szCs w:val="20"/>
          <w:shd w:val="clear" w:color="auto" w:fill="FFFFFF"/>
          <w:lang w:val="en-US"/>
        </w:rPr>
        <w:t>Cancer Cell</w:t>
      </w:r>
      <w:r w:rsidRPr="00061700">
        <w:rPr>
          <w:rFonts w:ascii="Times New Roman" w:eastAsia="Times New Roman" w:hAnsi="Times New Roman" w:cs="Times New Roman"/>
          <w:color w:val="3A3A3A"/>
          <w:sz w:val="20"/>
          <w:szCs w:val="20"/>
          <w:shd w:val="clear" w:color="auto" w:fill="FFFFFF"/>
          <w:lang w:val="en-US"/>
        </w:rPr>
        <w:t> 7.5: 469-83. Web.</w:t>
      </w:r>
    </w:p>
    <w:p w14:paraId="5220FDDA" w14:textId="33BDA006" w:rsidR="00264F80" w:rsidRPr="00061700" w:rsidRDefault="005236E3" w:rsidP="00155951">
      <w:pPr>
        <w:pStyle w:val="ListParagraph"/>
        <w:numPr>
          <w:ilvl w:val="0"/>
          <w:numId w:val="1"/>
        </w:numPr>
        <w:spacing w:line="240" w:lineRule="auto"/>
        <w:rPr>
          <w:rFonts w:ascii="Times New Roman" w:eastAsia="Times New Roman" w:hAnsi="Times New Roman" w:cs="Times New Roman"/>
          <w:sz w:val="20"/>
          <w:szCs w:val="20"/>
          <w:lang w:val="en-US"/>
        </w:rPr>
      </w:pPr>
      <w:r w:rsidRPr="00061700">
        <w:rPr>
          <w:rFonts w:ascii="Times New Roman" w:eastAsia="Times New Roman" w:hAnsi="Times New Roman" w:cs="Times New Roman"/>
          <w:color w:val="3A3A3A"/>
          <w:sz w:val="20"/>
          <w:szCs w:val="20"/>
          <w:shd w:val="clear" w:color="auto" w:fill="FFFFFF"/>
          <w:lang w:val="en-US"/>
        </w:rPr>
        <w:t xml:space="preserve">Yeh, </w:t>
      </w:r>
      <w:proofErr w:type="spellStart"/>
      <w:r w:rsidRPr="00061700">
        <w:rPr>
          <w:rFonts w:ascii="Times New Roman" w:eastAsia="Times New Roman" w:hAnsi="Times New Roman" w:cs="Times New Roman"/>
          <w:color w:val="3A3A3A"/>
          <w:sz w:val="20"/>
          <w:szCs w:val="20"/>
          <w:shd w:val="clear" w:color="auto" w:fill="FFFFFF"/>
          <w:lang w:val="en-US"/>
        </w:rPr>
        <w:t>Hsi</w:t>
      </w:r>
      <w:proofErr w:type="spellEnd"/>
      <w:r w:rsidRPr="00061700">
        <w:rPr>
          <w:rFonts w:ascii="Times New Roman" w:eastAsia="Times New Roman" w:hAnsi="Times New Roman" w:cs="Times New Roman"/>
          <w:color w:val="3A3A3A"/>
          <w:sz w:val="20"/>
          <w:szCs w:val="20"/>
          <w:shd w:val="clear" w:color="auto" w:fill="FFFFFF"/>
          <w:lang w:val="en-US"/>
        </w:rPr>
        <w:t xml:space="preserve">-Wen, Hsu, </w:t>
      </w:r>
      <w:proofErr w:type="spellStart"/>
      <w:r w:rsidRPr="00061700">
        <w:rPr>
          <w:rFonts w:ascii="Times New Roman" w:eastAsia="Times New Roman" w:hAnsi="Times New Roman" w:cs="Times New Roman"/>
          <w:color w:val="3A3A3A"/>
          <w:sz w:val="20"/>
          <w:szCs w:val="20"/>
          <w:shd w:val="clear" w:color="auto" w:fill="FFFFFF"/>
          <w:lang w:val="en-US"/>
        </w:rPr>
        <w:t>En</w:t>
      </w:r>
      <w:proofErr w:type="spellEnd"/>
      <w:r w:rsidRPr="00061700">
        <w:rPr>
          <w:rFonts w:ascii="Times New Roman" w:eastAsia="Times New Roman" w:hAnsi="Times New Roman" w:cs="Times New Roman"/>
          <w:color w:val="3A3A3A"/>
          <w:sz w:val="20"/>
          <w:szCs w:val="20"/>
          <w:shd w:val="clear" w:color="auto" w:fill="FFFFFF"/>
          <w:lang w:val="en-US"/>
        </w:rPr>
        <w:t xml:space="preserve">-Chi, Lee, </w:t>
      </w:r>
      <w:proofErr w:type="spellStart"/>
      <w:r w:rsidRPr="00061700">
        <w:rPr>
          <w:rFonts w:ascii="Times New Roman" w:eastAsia="Times New Roman" w:hAnsi="Times New Roman" w:cs="Times New Roman"/>
          <w:color w:val="3A3A3A"/>
          <w:sz w:val="20"/>
          <w:szCs w:val="20"/>
          <w:shd w:val="clear" w:color="auto" w:fill="FFFFFF"/>
          <w:lang w:val="en-US"/>
        </w:rPr>
        <w:t>Szu-Shuo</w:t>
      </w:r>
      <w:proofErr w:type="spellEnd"/>
      <w:r w:rsidRPr="00061700">
        <w:rPr>
          <w:rFonts w:ascii="Times New Roman" w:eastAsia="Times New Roman" w:hAnsi="Times New Roman" w:cs="Times New Roman"/>
          <w:color w:val="3A3A3A"/>
          <w:sz w:val="20"/>
          <w:szCs w:val="20"/>
          <w:shd w:val="clear" w:color="auto" w:fill="FFFFFF"/>
          <w:lang w:val="en-US"/>
        </w:rPr>
        <w:t xml:space="preserve">, Lang, Yaw-Dong, Lin, </w:t>
      </w:r>
      <w:proofErr w:type="spellStart"/>
      <w:r w:rsidRPr="00061700">
        <w:rPr>
          <w:rFonts w:ascii="Times New Roman" w:eastAsia="Times New Roman" w:hAnsi="Times New Roman" w:cs="Times New Roman"/>
          <w:color w:val="3A3A3A"/>
          <w:sz w:val="20"/>
          <w:szCs w:val="20"/>
          <w:shd w:val="clear" w:color="auto" w:fill="FFFFFF"/>
          <w:lang w:val="en-US"/>
        </w:rPr>
        <w:t>Yuh-Charn</w:t>
      </w:r>
      <w:proofErr w:type="spellEnd"/>
      <w:r w:rsidRPr="00061700">
        <w:rPr>
          <w:rFonts w:ascii="Times New Roman" w:eastAsia="Times New Roman" w:hAnsi="Times New Roman" w:cs="Times New Roman"/>
          <w:color w:val="3A3A3A"/>
          <w:sz w:val="20"/>
          <w:szCs w:val="20"/>
          <w:shd w:val="clear" w:color="auto" w:fill="FFFFFF"/>
          <w:lang w:val="en-US"/>
        </w:rPr>
        <w:t xml:space="preserve">, Chang, </w:t>
      </w:r>
      <w:proofErr w:type="spellStart"/>
      <w:r w:rsidRPr="00061700">
        <w:rPr>
          <w:rFonts w:ascii="Times New Roman" w:eastAsia="Times New Roman" w:hAnsi="Times New Roman" w:cs="Times New Roman"/>
          <w:color w:val="3A3A3A"/>
          <w:sz w:val="20"/>
          <w:szCs w:val="20"/>
          <w:shd w:val="clear" w:color="auto" w:fill="FFFFFF"/>
          <w:lang w:val="en-US"/>
        </w:rPr>
        <w:t>Chieh</w:t>
      </w:r>
      <w:proofErr w:type="spellEnd"/>
      <w:r w:rsidRPr="00061700">
        <w:rPr>
          <w:rFonts w:ascii="Times New Roman" w:eastAsia="Times New Roman" w:hAnsi="Times New Roman" w:cs="Times New Roman"/>
          <w:color w:val="3A3A3A"/>
          <w:sz w:val="20"/>
          <w:szCs w:val="20"/>
          <w:shd w:val="clear" w:color="auto" w:fill="FFFFFF"/>
          <w:lang w:val="en-US"/>
        </w:rPr>
        <w:t xml:space="preserve">-Yu, Lee, </w:t>
      </w:r>
      <w:proofErr w:type="spellStart"/>
      <w:r w:rsidRPr="00061700">
        <w:rPr>
          <w:rFonts w:ascii="Times New Roman" w:eastAsia="Times New Roman" w:hAnsi="Times New Roman" w:cs="Times New Roman"/>
          <w:color w:val="3A3A3A"/>
          <w:sz w:val="20"/>
          <w:szCs w:val="20"/>
          <w:shd w:val="clear" w:color="auto" w:fill="FFFFFF"/>
          <w:lang w:val="en-US"/>
        </w:rPr>
        <w:t>Suz</w:t>
      </w:r>
      <w:proofErr w:type="spellEnd"/>
      <w:r w:rsidRPr="00061700">
        <w:rPr>
          <w:rFonts w:ascii="Times New Roman" w:eastAsia="Times New Roman" w:hAnsi="Times New Roman" w:cs="Times New Roman"/>
          <w:color w:val="3A3A3A"/>
          <w:sz w:val="20"/>
          <w:szCs w:val="20"/>
          <w:shd w:val="clear" w:color="auto" w:fill="FFFFFF"/>
          <w:lang w:val="en-US"/>
        </w:rPr>
        <w:t xml:space="preserve">-Yi, Gu, De-Leung, Shih, </w:t>
      </w:r>
      <w:proofErr w:type="spellStart"/>
      <w:r w:rsidRPr="00061700">
        <w:rPr>
          <w:rFonts w:ascii="Times New Roman" w:eastAsia="Times New Roman" w:hAnsi="Times New Roman" w:cs="Times New Roman"/>
          <w:color w:val="3A3A3A"/>
          <w:sz w:val="20"/>
          <w:szCs w:val="20"/>
          <w:shd w:val="clear" w:color="auto" w:fill="FFFFFF"/>
          <w:lang w:val="en-US"/>
        </w:rPr>
        <w:t>Jou</w:t>
      </w:r>
      <w:proofErr w:type="spellEnd"/>
      <w:r w:rsidRPr="00061700">
        <w:rPr>
          <w:rFonts w:ascii="Times New Roman" w:eastAsia="Times New Roman" w:hAnsi="Times New Roman" w:cs="Times New Roman"/>
          <w:color w:val="3A3A3A"/>
          <w:sz w:val="20"/>
          <w:szCs w:val="20"/>
          <w:shd w:val="clear" w:color="auto" w:fill="FFFFFF"/>
          <w:lang w:val="en-US"/>
        </w:rPr>
        <w:t xml:space="preserve">-Ho, Ho, Chun-Ming, Chen, </w:t>
      </w:r>
      <w:proofErr w:type="spellStart"/>
      <w:r w:rsidRPr="00061700">
        <w:rPr>
          <w:rFonts w:ascii="Times New Roman" w:eastAsia="Times New Roman" w:hAnsi="Times New Roman" w:cs="Times New Roman"/>
          <w:color w:val="3A3A3A"/>
          <w:sz w:val="20"/>
          <w:szCs w:val="20"/>
          <w:shd w:val="clear" w:color="auto" w:fill="FFFFFF"/>
          <w:lang w:val="en-US"/>
        </w:rPr>
        <w:t>Chian</w:t>
      </w:r>
      <w:proofErr w:type="spellEnd"/>
      <w:r w:rsidRPr="00061700">
        <w:rPr>
          <w:rFonts w:ascii="Times New Roman" w:eastAsia="Times New Roman" w:hAnsi="Times New Roman" w:cs="Times New Roman"/>
          <w:color w:val="3A3A3A"/>
          <w:sz w:val="20"/>
          <w:szCs w:val="20"/>
          <w:shd w:val="clear" w:color="auto" w:fill="FFFFFF"/>
          <w:lang w:val="en-US"/>
        </w:rPr>
        <w:t xml:space="preserve">-Feng, Chen, </w:t>
      </w:r>
      <w:proofErr w:type="spellStart"/>
      <w:r w:rsidRPr="00061700">
        <w:rPr>
          <w:rFonts w:ascii="Times New Roman" w:eastAsia="Times New Roman" w:hAnsi="Times New Roman" w:cs="Times New Roman"/>
          <w:color w:val="3A3A3A"/>
          <w:sz w:val="20"/>
          <w:szCs w:val="20"/>
          <w:shd w:val="clear" w:color="auto" w:fill="FFFFFF"/>
          <w:lang w:val="en-US"/>
        </w:rPr>
        <w:t>Chiung</w:t>
      </w:r>
      <w:proofErr w:type="spellEnd"/>
      <w:r w:rsidRPr="00061700">
        <w:rPr>
          <w:rFonts w:ascii="Times New Roman" w:eastAsia="Times New Roman" w:hAnsi="Times New Roman" w:cs="Times New Roman"/>
          <w:color w:val="3A3A3A"/>
          <w:sz w:val="20"/>
          <w:szCs w:val="20"/>
          <w:shd w:val="clear" w:color="auto" w:fill="FFFFFF"/>
          <w:lang w:val="en-US"/>
        </w:rPr>
        <w:t xml:space="preserve">-Tong, Tu, Pang-Hsien, Cheng, Ching-Feng, Chen, </w:t>
      </w:r>
      <w:proofErr w:type="spellStart"/>
      <w:r w:rsidRPr="00061700">
        <w:rPr>
          <w:rFonts w:ascii="Times New Roman" w:eastAsia="Times New Roman" w:hAnsi="Times New Roman" w:cs="Times New Roman"/>
          <w:color w:val="3A3A3A"/>
          <w:sz w:val="20"/>
          <w:szCs w:val="20"/>
          <w:shd w:val="clear" w:color="auto" w:fill="FFFFFF"/>
          <w:lang w:val="en-US"/>
        </w:rPr>
        <w:t>Ruey</w:t>
      </w:r>
      <w:proofErr w:type="spellEnd"/>
      <w:r w:rsidRPr="00061700">
        <w:rPr>
          <w:rFonts w:ascii="Times New Roman" w:eastAsia="Times New Roman" w:hAnsi="Times New Roman" w:cs="Times New Roman"/>
          <w:color w:val="3A3A3A"/>
          <w:sz w:val="20"/>
          <w:szCs w:val="20"/>
          <w:shd w:val="clear" w:color="auto" w:fill="FFFFFF"/>
          <w:lang w:val="en-US"/>
        </w:rPr>
        <w:t xml:space="preserve">-Hwa, Yang, </w:t>
      </w:r>
      <w:proofErr w:type="spellStart"/>
      <w:r w:rsidRPr="00061700">
        <w:rPr>
          <w:rFonts w:ascii="Times New Roman" w:eastAsia="Times New Roman" w:hAnsi="Times New Roman" w:cs="Times New Roman"/>
          <w:color w:val="3A3A3A"/>
          <w:sz w:val="20"/>
          <w:szCs w:val="20"/>
          <w:shd w:val="clear" w:color="auto" w:fill="FFFFFF"/>
          <w:lang w:val="en-US"/>
        </w:rPr>
        <w:t>Ruey</w:t>
      </w:r>
      <w:proofErr w:type="spellEnd"/>
      <w:r w:rsidRPr="00061700">
        <w:rPr>
          <w:rFonts w:ascii="Times New Roman" w:eastAsia="Times New Roman" w:hAnsi="Times New Roman" w:cs="Times New Roman"/>
          <w:color w:val="3A3A3A"/>
          <w:sz w:val="20"/>
          <w:szCs w:val="20"/>
          <w:shd w:val="clear" w:color="auto" w:fill="FFFFFF"/>
          <w:lang w:val="en-US"/>
        </w:rPr>
        <w:t xml:space="preserve">-Bing, and </w:t>
      </w:r>
      <w:proofErr w:type="spellStart"/>
      <w:r w:rsidRPr="00061700">
        <w:rPr>
          <w:rFonts w:ascii="Times New Roman" w:eastAsia="Times New Roman" w:hAnsi="Times New Roman" w:cs="Times New Roman"/>
          <w:color w:val="3A3A3A"/>
          <w:sz w:val="20"/>
          <w:szCs w:val="20"/>
          <w:shd w:val="clear" w:color="auto" w:fill="FFFFFF"/>
          <w:lang w:val="en-US"/>
        </w:rPr>
        <w:t>Jou</w:t>
      </w:r>
      <w:proofErr w:type="spellEnd"/>
      <w:r w:rsidRPr="00061700">
        <w:rPr>
          <w:rFonts w:ascii="Times New Roman" w:eastAsia="Times New Roman" w:hAnsi="Times New Roman" w:cs="Times New Roman"/>
          <w:color w:val="3A3A3A"/>
          <w:sz w:val="20"/>
          <w:szCs w:val="20"/>
          <w:shd w:val="clear" w:color="auto" w:fill="FFFFFF"/>
          <w:lang w:val="en-US"/>
        </w:rPr>
        <w:t xml:space="preserve">, </w:t>
      </w:r>
      <w:proofErr w:type="spellStart"/>
      <w:r w:rsidRPr="00061700">
        <w:rPr>
          <w:rFonts w:ascii="Times New Roman" w:eastAsia="Times New Roman" w:hAnsi="Times New Roman" w:cs="Times New Roman"/>
          <w:color w:val="3A3A3A"/>
          <w:sz w:val="20"/>
          <w:szCs w:val="20"/>
          <w:shd w:val="clear" w:color="auto" w:fill="FFFFFF"/>
          <w:lang w:val="en-US"/>
        </w:rPr>
        <w:t>Yuh</w:t>
      </w:r>
      <w:proofErr w:type="spellEnd"/>
      <w:r w:rsidRPr="00061700">
        <w:rPr>
          <w:rFonts w:ascii="Times New Roman" w:eastAsia="Times New Roman" w:hAnsi="Times New Roman" w:cs="Times New Roman"/>
          <w:color w:val="3A3A3A"/>
          <w:sz w:val="20"/>
          <w:szCs w:val="20"/>
          <w:shd w:val="clear" w:color="auto" w:fill="FFFFFF"/>
          <w:lang w:val="en-US"/>
        </w:rPr>
        <w:t>-Shan</w:t>
      </w:r>
      <w:r w:rsidR="000C4DA5" w:rsidRPr="00061700">
        <w:rPr>
          <w:rFonts w:ascii="Times New Roman" w:eastAsia="Times New Roman" w:hAnsi="Times New Roman" w:cs="Times New Roman"/>
          <w:color w:val="3A3A3A"/>
          <w:sz w:val="20"/>
          <w:szCs w:val="20"/>
          <w:shd w:val="clear" w:color="auto" w:fill="FFFFFF"/>
          <w:lang w:val="en-US"/>
        </w:rPr>
        <w:t xml:space="preserve"> (2018)</w:t>
      </w:r>
      <w:r w:rsidRPr="00061700">
        <w:rPr>
          <w:rFonts w:ascii="Times New Roman" w:eastAsia="Times New Roman" w:hAnsi="Times New Roman" w:cs="Times New Roman"/>
          <w:color w:val="3A3A3A"/>
          <w:sz w:val="20"/>
          <w:szCs w:val="20"/>
          <w:shd w:val="clear" w:color="auto" w:fill="FFFFFF"/>
          <w:lang w:val="en-US"/>
        </w:rPr>
        <w:t xml:space="preserve">. "PSPC1 Mediates TGF-β1 Autocrine </w:t>
      </w:r>
      <w:proofErr w:type="spellStart"/>
      <w:r w:rsidRPr="00061700">
        <w:rPr>
          <w:rFonts w:ascii="Times New Roman" w:eastAsia="Times New Roman" w:hAnsi="Times New Roman" w:cs="Times New Roman"/>
          <w:color w:val="3A3A3A"/>
          <w:sz w:val="20"/>
          <w:szCs w:val="20"/>
          <w:shd w:val="clear" w:color="auto" w:fill="FFFFFF"/>
          <w:lang w:val="en-US"/>
        </w:rPr>
        <w:t>Signalling</w:t>
      </w:r>
      <w:proofErr w:type="spellEnd"/>
      <w:r w:rsidRPr="00061700">
        <w:rPr>
          <w:rFonts w:ascii="Times New Roman" w:eastAsia="Times New Roman" w:hAnsi="Times New Roman" w:cs="Times New Roman"/>
          <w:color w:val="3A3A3A"/>
          <w:sz w:val="20"/>
          <w:szCs w:val="20"/>
          <w:shd w:val="clear" w:color="auto" w:fill="FFFFFF"/>
          <w:lang w:val="en-US"/>
        </w:rPr>
        <w:t xml:space="preserve"> and Smad2/3 Target Switching to Promote EMT, Stemness and Metastasis." </w:t>
      </w:r>
      <w:r w:rsidRPr="00061700">
        <w:rPr>
          <w:rFonts w:ascii="Times New Roman" w:eastAsia="Times New Roman" w:hAnsi="Times New Roman" w:cs="Times New Roman"/>
          <w:i/>
          <w:iCs/>
          <w:color w:val="3A3A3A"/>
          <w:sz w:val="20"/>
          <w:szCs w:val="20"/>
          <w:shd w:val="clear" w:color="auto" w:fill="FFFFFF"/>
          <w:lang w:val="en-US"/>
        </w:rPr>
        <w:t>Nature Cell Biology</w:t>
      </w:r>
      <w:r w:rsidRPr="00061700">
        <w:rPr>
          <w:rFonts w:ascii="Times New Roman" w:eastAsia="Times New Roman" w:hAnsi="Times New Roman" w:cs="Times New Roman"/>
          <w:color w:val="3A3A3A"/>
          <w:sz w:val="20"/>
          <w:szCs w:val="20"/>
          <w:shd w:val="clear" w:color="auto" w:fill="FFFFFF"/>
          <w:lang w:val="en-US"/>
        </w:rPr>
        <w:t> 20.4: 479-491. Web.</w:t>
      </w:r>
    </w:p>
    <w:p w14:paraId="72BCED2A" w14:textId="39E12494" w:rsidR="00277E50" w:rsidRPr="00061700" w:rsidRDefault="00277E50" w:rsidP="00277E50">
      <w:pPr>
        <w:pStyle w:val="ListParagraph"/>
        <w:numPr>
          <w:ilvl w:val="0"/>
          <w:numId w:val="1"/>
        </w:numPr>
        <w:rPr>
          <w:rFonts w:ascii="Times New Roman" w:hAnsi="Times New Roman" w:cs="Times New Roman"/>
          <w:sz w:val="20"/>
          <w:szCs w:val="20"/>
        </w:rPr>
      </w:pPr>
      <w:r w:rsidRPr="00061700">
        <w:rPr>
          <w:rFonts w:ascii="Times New Roman" w:hAnsi="Times New Roman" w:cs="Times New Roman"/>
          <w:color w:val="303030"/>
          <w:sz w:val="20"/>
          <w:szCs w:val="20"/>
          <w:shd w:val="clear" w:color="auto" w:fill="FFFFFF"/>
        </w:rPr>
        <w:t xml:space="preserve">Das, </w:t>
      </w:r>
      <w:proofErr w:type="spellStart"/>
      <w:r w:rsidRPr="00061700">
        <w:rPr>
          <w:rFonts w:ascii="Times New Roman" w:hAnsi="Times New Roman" w:cs="Times New Roman"/>
          <w:color w:val="303030"/>
          <w:sz w:val="20"/>
          <w:szCs w:val="20"/>
          <w:shd w:val="clear" w:color="auto" w:fill="FFFFFF"/>
        </w:rPr>
        <w:t>A</w:t>
      </w:r>
      <w:r w:rsidR="007A493B" w:rsidRPr="00061700">
        <w:rPr>
          <w:rFonts w:ascii="Times New Roman" w:hAnsi="Times New Roman" w:cs="Times New Roman"/>
          <w:color w:val="303030"/>
          <w:sz w:val="20"/>
          <w:szCs w:val="20"/>
          <w:shd w:val="clear" w:color="auto" w:fill="FFFFFF"/>
        </w:rPr>
        <w:t>tze</w:t>
      </w:r>
      <w:proofErr w:type="spellEnd"/>
      <w:r w:rsidRPr="00061700">
        <w:rPr>
          <w:rFonts w:ascii="Times New Roman" w:hAnsi="Times New Roman" w:cs="Times New Roman"/>
          <w:color w:val="303030"/>
          <w:sz w:val="20"/>
          <w:szCs w:val="20"/>
          <w:shd w:val="clear" w:color="auto" w:fill="FFFFFF"/>
        </w:rPr>
        <w:t xml:space="preserve">, Tenenbaum, </w:t>
      </w:r>
      <w:proofErr w:type="spellStart"/>
      <w:r w:rsidRPr="00061700">
        <w:rPr>
          <w:rFonts w:ascii="Times New Roman" w:hAnsi="Times New Roman" w:cs="Times New Roman"/>
          <w:color w:val="303030"/>
          <w:sz w:val="20"/>
          <w:szCs w:val="20"/>
          <w:shd w:val="clear" w:color="auto" w:fill="FFFFFF"/>
        </w:rPr>
        <w:t>L</w:t>
      </w:r>
      <w:r w:rsidR="00F63B1E" w:rsidRPr="00061700">
        <w:rPr>
          <w:rFonts w:ascii="Times New Roman" w:hAnsi="Times New Roman" w:cs="Times New Roman"/>
          <w:color w:val="303030"/>
          <w:sz w:val="20"/>
          <w:szCs w:val="20"/>
          <w:shd w:val="clear" w:color="auto" w:fill="FFFFFF"/>
        </w:rPr>
        <w:t>iliiane</w:t>
      </w:r>
      <w:proofErr w:type="spellEnd"/>
      <w:r w:rsidRPr="00061700">
        <w:rPr>
          <w:rFonts w:ascii="Times New Roman" w:hAnsi="Times New Roman" w:cs="Times New Roman"/>
          <w:color w:val="303030"/>
          <w:sz w:val="20"/>
          <w:szCs w:val="20"/>
          <w:shd w:val="clear" w:color="auto" w:fill="FFFFFF"/>
        </w:rPr>
        <w:t xml:space="preserve">, &amp; </w:t>
      </w:r>
      <w:proofErr w:type="spellStart"/>
      <w:r w:rsidRPr="00061700">
        <w:rPr>
          <w:rFonts w:ascii="Times New Roman" w:hAnsi="Times New Roman" w:cs="Times New Roman"/>
          <w:color w:val="303030"/>
          <w:sz w:val="20"/>
          <w:szCs w:val="20"/>
          <w:shd w:val="clear" w:color="auto" w:fill="FFFFFF"/>
        </w:rPr>
        <w:t>Berkhout</w:t>
      </w:r>
      <w:proofErr w:type="spellEnd"/>
      <w:r w:rsidRPr="00061700">
        <w:rPr>
          <w:rFonts w:ascii="Times New Roman" w:hAnsi="Times New Roman" w:cs="Times New Roman"/>
          <w:color w:val="303030"/>
          <w:sz w:val="20"/>
          <w:szCs w:val="20"/>
          <w:shd w:val="clear" w:color="auto" w:fill="FFFFFF"/>
        </w:rPr>
        <w:t>, B</w:t>
      </w:r>
      <w:r w:rsidR="00F63B1E" w:rsidRPr="00061700">
        <w:rPr>
          <w:rFonts w:ascii="Times New Roman" w:hAnsi="Times New Roman" w:cs="Times New Roman"/>
          <w:color w:val="303030"/>
          <w:sz w:val="20"/>
          <w:szCs w:val="20"/>
          <w:shd w:val="clear" w:color="auto" w:fill="FFFFFF"/>
        </w:rPr>
        <w:t>en</w:t>
      </w:r>
      <w:r w:rsidRPr="00061700">
        <w:rPr>
          <w:rFonts w:ascii="Times New Roman" w:hAnsi="Times New Roman" w:cs="Times New Roman"/>
          <w:color w:val="303030"/>
          <w:sz w:val="20"/>
          <w:szCs w:val="20"/>
          <w:shd w:val="clear" w:color="auto" w:fill="FFFFFF"/>
        </w:rPr>
        <w:t xml:space="preserve"> (2016). Tet-On Systems </w:t>
      </w:r>
      <w:proofErr w:type="gramStart"/>
      <w:r w:rsidRPr="00061700">
        <w:rPr>
          <w:rFonts w:ascii="Times New Roman" w:hAnsi="Times New Roman" w:cs="Times New Roman"/>
          <w:color w:val="303030"/>
          <w:sz w:val="20"/>
          <w:szCs w:val="20"/>
          <w:shd w:val="clear" w:color="auto" w:fill="FFFFFF"/>
        </w:rPr>
        <w:t>For</w:t>
      </w:r>
      <w:proofErr w:type="gramEnd"/>
      <w:r w:rsidRPr="00061700">
        <w:rPr>
          <w:rFonts w:ascii="Times New Roman" w:hAnsi="Times New Roman" w:cs="Times New Roman"/>
          <w:color w:val="303030"/>
          <w:sz w:val="20"/>
          <w:szCs w:val="20"/>
          <w:shd w:val="clear" w:color="auto" w:fill="FFFFFF"/>
        </w:rPr>
        <w:t xml:space="preserve"> Doxycycline-inducible Gene Expression. </w:t>
      </w:r>
      <w:r w:rsidRPr="00061700">
        <w:rPr>
          <w:rFonts w:ascii="Times New Roman" w:hAnsi="Times New Roman" w:cs="Times New Roman"/>
          <w:i/>
          <w:iCs/>
          <w:color w:val="303030"/>
          <w:sz w:val="20"/>
          <w:szCs w:val="20"/>
          <w:shd w:val="clear" w:color="auto" w:fill="FFFFFF"/>
        </w:rPr>
        <w:t>Current gene therapy</w:t>
      </w:r>
      <w:r w:rsidRPr="00061700">
        <w:rPr>
          <w:rFonts w:ascii="Times New Roman" w:hAnsi="Times New Roman" w:cs="Times New Roman"/>
          <w:color w:val="303030"/>
          <w:sz w:val="20"/>
          <w:szCs w:val="20"/>
          <w:shd w:val="clear" w:color="auto" w:fill="FFFFFF"/>
        </w:rPr>
        <w:t>, </w:t>
      </w:r>
      <w:r w:rsidRPr="00061700">
        <w:rPr>
          <w:rFonts w:ascii="Times New Roman" w:hAnsi="Times New Roman" w:cs="Times New Roman"/>
          <w:i/>
          <w:iCs/>
          <w:color w:val="303030"/>
          <w:sz w:val="20"/>
          <w:szCs w:val="20"/>
          <w:shd w:val="clear" w:color="auto" w:fill="FFFFFF"/>
        </w:rPr>
        <w:t>16</w:t>
      </w:r>
      <w:r w:rsidRPr="00061700">
        <w:rPr>
          <w:rFonts w:ascii="Times New Roman" w:hAnsi="Times New Roman" w:cs="Times New Roman"/>
          <w:color w:val="303030"/>
          <w:sz w:val="20"/>
          <w:szCs w:val="20"/>
          <w:shd w:val="clear" w:color="auto" w:fill="FFFFFF"/>
        </w:rPr>
        <w:t>(3), 156–167. doi:10.2174/1566523216666160524144041</w:t>
      </w:r>
    </w:p>
    <w:p w14:paraId="31EE699A" w14:textId="77777777" w:rsidR="0036695C" w:rsidRPr="00061700" w:rsidRDefault="0036695C" w:rsidP="0036695C">
      <w:pPr>
        <w:pStyle w:val="ListParagraph"/>
        <w:numPr>
          <w:ilvl w:val="0"/>
          <w:numId w:val="1"/>
        </w:numPr>
        <w:rPr>
          <w:rFonts w:ascii="Times New Roman" w:hAnsi="Times New Roman" w:cs="Times New Roman"/>
          <w:sz w:val="20"/>
          <w:szCs w:val="20"/>
        </w:rPr>
      </w:pPr>
      <w:proofErr w:type="spellStart"/>
      <w:r w:rsidRPr="00061700">
        <w:rPr>
          <w:rFonts w:ascii="Times New Roman" w:hAnsi="Times New Roman" w:cs="Times New Roman"/>
          <w:color w:val="303030"/>
          <w:sz w:val="20"/>
          <w:szCs w:val="20"/>
          <w:shd w:val="clear" w:color="auto" w:fill="FFFFFF"/>
        </w:rPr>
        <w:t>Garibyan</w:t>
      </w:r>
      <w:proofErr w:type="spellEnd"/>
      <w:r w:rsidRPr="00061700">
        <w:rPr>
          <w:rFonts w:ascii="Times New Roman" w:hAnsi="Times New Roman" w:cs="Times New Roman"/>
          <w:color w:val="303030"/>
          <w:sz w:val="20"/>
          <w:szCs w:val="20"/>
          <w:shd w:val="clear" w:color="auto" w:fill="FFFFFF"/>
        </w:rPr>
        <w:t xml:space="preserve">, L., &amp; </w:t>
      </w:r>
      <w:proofErr w:type="spellStart"/>
      <w:r w:rsidRPr="00061700">
        <w:rPr>
          <w:rFonts w:ascii="Times New Roman" w:hAnsi="Times New Roman" w:cs="Times New Roman"/>
          <w:color w:val="303030"/>
          <w:sz w:val="20"/>
          <w:szCs w:val="20"/>
          <w:shd w:val="clear" w:color="auto" w:fill="FFFFFF"/>
        </w:rPr>
        <w:t>Avashia</w:t>
      </w:r>
      <w:proofErr w:type="spellEnd"/>
      <w:r w:rsidRPr="00061700">
        <w:rPr>
          <w:rFonts w:ascii="Times New Roman" w:hAnsi="Times New Roman" w:cs="Times New Roman"/>
          <w:color w:val="303030"/>
          <w:sz w:val="20"/>
          <w:szCs w:val="20"/>
          <w:shd w:val="clear" w:color="auto" w:fill="FFFFFF"/>
        </w:rPr>
        <w:t>, N. (2013). Polymerase chain reaction. </w:t>
      </w:r>
      <w:r w:rsidRPr="00061700">
        <w:rPr>
          <w:rFonts w:ascii="Times New Roman" w:hAnsi="Times New Roman" w:cs="Times New Roman"/>
          <w:i/>
          <w:iCs/>
          <w:color w:val="303030"/>
          <w:sz w:val="20"/>
          <w:szCs w:val="20"/>
          <w:shd w:val="clear" w:color="auto" w:fill="FFFFFF"/>
        </w:rPr>
        <w:t>The Journal of investigative dermatology</w:t>
      </w:r>
      <w:r w:rsidRPr="00061700">
        <w:rPr>
          <w:rFonts w:ascii="Times New Roman" w:hAnsi="Times New Roman" w:cs="Times New Roman"/>
          <w:color w:val="303030"/>
          <w:sz w:val="20"/>
          <w:szCs w:val="20"/>
          <w:shd w:val="clear" w:color="auto" w:fill="FFFFFF"/>
        </w:rPr>
        <w:t>, </w:t>
      </w:r>
      <w:r w:rsidRPr="00061700">
        <w:rPr>
          <w:rFonts w:ascii="Times New Roman" w:hAnsi="Times New Roman" w:cs="Times New Roman"/>
          <w:i/>
          <w:iCs/>
          <w:color w:val="303030"/>
          <w:sz w:val="20"/>
          <w:szCs w:val="20"/>
          <w:shd w:val="clear" w:color="auto" w:fill="FFFFFF"/>
        </w:rPr>
        <w:t>133</w:t>
      </w:r>
      <w:r w:rsidRPr="00061700">
        <w:rPr>
          <w:rFonts w:ascii="Times New Roman" w:hAnsi="Times New Roman" w:cs="Times New Roman"/>
          <w:color w:val="303030"/>
          <w:sz w:val="20"/>
          <w:szCs w:val="20"/>
          <w:shd w:val="clear" w:color="auto" w:fill="FFFFFF"/>
        </w:rPr>
        <w:t>(3), 1–4. doi:10.1038/jid.2013.1</w:t>
      </w:r>
    </w:p>
    <w:p w14:paraId="2D8F6147" w14:textId="77777777" w:rsidR="00155951" w:rsidRPr="00061700" w:rsidRDefault="00155951" w:rsidP="00155951">
      <w:pPr>
        <w:pStyle w:val="ListParagraph"/>
        <w:numPr>
          <w:ilvl w:val="0"/>
          <w:numId w:val="1"/>
        </w:numPr>
        <w:rPr>
          <w:rFonts w:ascii="Times New Roman" w:hAnsi="Times New Roman" w:cs="Times New Roman"/>
          <w:sz w:val="20"/>
          <w:szCs w:val="20"/>
        </w:rPr>
      </w:pPr>
      <w:r w:rsidRPr="00061700">
        <w:rPr>
          <w:rFonts w:ascii="Times New Roman" w:hAnsi="Times New Roman" w:cs="Times New Roman"/>
          <w:color w:val="3A3A3A"/>
          <w:sz w:val="20"/>
          <w:szCs w:val="20"/>
          <w:shd w:val="clear" w:color="auto" w:fill="FFFFFF"/>
        </w:rPr>
        <w:t xml:space="preserve">Lee, P., </w:t>
      </w:r>
      <w:proofErr w:type="spellStart"/>
      <w:r w:rsidRPr="00061700">
        <w:rPr>
          <w:rFonts w:ascii="Times New Roman" w:hAnsi="Times New Roman" w:cs="Times New Roman"/>
          <w:color w:val="3A3A3A"/>
          <w:sz w:val="20"/>
          <w:szCs w:val="20"/>
          <w:shd w:val="clear" w:color="auto" w:fill="FFFFFF"/>
        </w:rPr>
        <w:t>Costumbrado</w:t>
      </w:r>
      <w:proofErr w:type="spellEnd"/>
      <w:r w:rsidRPr="00061700">
        <w:rPr>
          <w:rFonts w:ascii="Times New Roman" w:hAnsi="Times New Roman" w:cs="Times New Roman"/>
          <w:color w:val="3A3A3A"/>
          <w:sz w:val="20"/>
          <w:szCs w:val="20"/>
          <w:shd w:val="clear" w:color="auto" w:fill="FFFFFF"/>
        </w:rPr>
        <w:t>, J., Hsu, C., &amp; Kim, Y. (2012). Agarose Gel Electrophoresis for the Separation of DNA Fragments. </w:t>
      </w:r>
      <w:r w:rsidRPr="00061700">
        <w:rPr>
          <w:rFonts w:ascii="Times New Roman" w:hAnsi="Times New Roman" w:cs="Times New Roman"/>
          <w:i/>
          <w:iCs/>
          <w:color w:val="3A3A3A"/>
          <w:sz w:val="20"/>
          <w:szCs w:val="20"/>
          <w:shd w:val="clear" w:color="auto" w:fill="FFFFFF"/>
        </w:rPr>
        <w:t>Journal of Visualized Experiments,</w:t>
      </w:r>
      <w:r w:rsidRPr="00061700">
        <w:rPr>
          <w:rFonts w:ascii="Times New Roman" w:hAnsi="Times New Roman" w:cs="Times New Roman"/>
          <w:color w:val="3A3A3A"/>
          <w:sz w:val="20"/>
          <w:szCs w:val="20"/>
          <w:shd w:val="clear" w:color="auto" w:fill="FFFFFF"/>
        </w:rPr>
        <w:t> (62), Journal of Visualized Experiments, 2012, Issue 62.</w:t>
      </w:r>
    </w:p>
    <w:p w14:paraId="6269C7C4" w14:textId="77777777" w:rsidR="0036695C" w:rsidRPr="00277E50" w:rsidRDefault="0036695C" w:rsidP="009E1A7F">
      <w:pPr>
        <w:pStyle w:val="ListParagraph"/>
      </w:pPr>
    </w:p>
    <w:p w14:paraId="4AB17B72" w14:textId="77777777" w:rsidR="00277E50" w:rsidRDefault="00277E50" w:rsidP="0036695C"/>
    <w:p w14:paraId="597045D1" w14:textId="46EACA3B" w:rsidR="003F5697" w:rsidRPr="00277E50" w:rsidRDefault="003F5697" w:rsidP="00277E50">
      <w:pPr>
        <w:rPr>
          <w:b/>
        </w:rPr>
      </w:pPr>
    </w:p>
    <w:p w14:paraId="455818A2" w14:textId="77777777" w:rsidR="00E61D81" w:rsidRDefault="00E61D81">
      <w:pPr>
        <w:rPr>
          <w:b/>
        </w:rPr>
      </w:pPr>
    </w:p>
    <w:p w14:paraId="5FB5C5F5" w14:textId="77777777" w:rsidR="00E61D81" w:rsidRDefault="00E61D81"/>
    <w:p w14:paraId="5B78304E" w14:textId="77777777" w:rsidR="00E61D81" w:rsidRDefault="00E61D81"/>
    <w:p w14:paraId="2CE1F42F" w14:textId="77777777" w:rsidR="00E61D81" w:rsidRDefault="00E61D81">
      <w:pPr>
        <w:ind w:hanging="540"/>
      </w:pPr>
    </w:p>
    <w:sectPr w:rsidR="00E61D81">
      <w:headerReference w:type="default" r:id="rId15"/>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6FC305" w14:textId="77777777" w:rsidR="00942E2A" w:rsidRDefault="00942E2A">
      <w:r>
        <w:separator/>
      </w:r>
    </w:p>
  </w:endnote>
  <w:endnote w:type="continuationSeparator" w:id="0">
    <w:p w14:paraId="65368037" w14:textId="77777777" w:rsidR="00942E2A" w:rsidRDefault="00942E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0CF3A3" w14:textId="77777777" w:rsidR="00942E2A" w:rsidRDefault="00942E2A">
      <w:r>
        <w:separator/>
      </w:r>
    </w:p>
  </w:footnote>
  <w:footnote w:type="continuationSeparator" w:id="0">
    <w:p w14:paraId="716D2175" w14:textId="77777777" w:rsidR="00942E2A" w:rsidRDefault="00942E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D16F3E" w14:textId="2AA77698" w:rsidR="00B66594" w:rsidRDefault="00B66594">
    <w:pPr>
      <w:pStyle w:val="Header"/>
    </w:pPr>
    <w:r>
      <w:ptab w:relativeTo="margin" w:alignment="center" w:leader="none"/>
    </w:r>
    <w:r>
      <w:ptab w:relativeTo="margin" w:alignment="right" w:leader="none"/>
    </w:r>
    <w:r>
      <w:t>Kathy Saravane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85C64F2"/>
    <w:multiLevelType w:val="hybridMultilevel"/>
    <w:tmpl w:val="D2EE83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1D81"/>
    <w:rsid w:val="0001382B"/>
    <w:rsid w:val="00021F7A"/>
    <w:rsid w:val="00033EB5"/>
    <w:rsid w:val="00053CCC"/>
    <w:rsid w:val="00060FBD"/>
    <w:rsid w:val="00061700"/>
    <w:rsid w:val="0009398A"/>
    <w:rsid w:val="000979CD"/>
    <w:rsid w:val="000B44D6"/>
    <w:rsid w:val="000C4DA5"/>
    <w:rsid w:val="00102105"/>
    <w:rsid w:val="0014144A"/>
    <w:rsid w:val="00145AC9"/>
    <w:rsid w:val="00155951"/>
    <w:rsid w:val="0016664E"/>
    <w:rsid w:val="001A0FB8"/>
    <w:rsid w:val="001D5DD0"/>
    <w:rsid w:val="001D6BD4"/>
    <w:rsid w:val="001D73E6"/>
    <w:rsid w:val="001F0B9B"/>
    <w:rsid w:val="002020F9"/>
    <w:rsid w:val="00205982"/>
    <w:rsid w:val="00207149"/>
    <w:rsid w:val="00207C6D"/>
    <w:rsid w:val="002141D6"/>
    <w:rsid w:val="00221D13"/>
    <w:rsid w:val="00236499"/>
    <w:rsid w:val="00241046"/>
    <w:rsid w:val="00247E27"/>
    <w:rsid w:val="00261FC6"/>
    <w:rsid w:val="00264F80"/>
    <w:rsid w:val="0027398C"/>
    <w:rsid w:val="00277E50"/>
    <w:rsid w:val="002A2695"/>
    <w:rsid w:val="002C3C04"/>
    <w:rsid w:val="002D08F0"/>
    <w:rsid w:val="002F4C3C"/>
    <w:rsid w:val="002F6189"/>
    <w:rsid w:val="002F76E5"/>
    <w:rsid w:val="00300F6A"/>
    <w:rsid w:val="0030177B"/>
    <w:rsid w:val="00310ECC"/>
    <w:rsid w:val="003118D7"/>
    <w:rsid w:val="003301F5"/>
    <w:rsid w:val="0033051D"/>
    <w:rsid w:val="00344F74"/>
    <w:rsid w:val="0036695C"/>
    <w:rsid w:val="003812E5"/>
    <w:rsid w:val="003A0972"/>
    <w:rsid w:val="003A153A"/>
    <w:rsid w:val="003A6B0E"/>
    <w:rsid w:val="003A7FE6"/>
    <w:rsid w:val="003B2F82"/>
    <w:rsid w:val="003C0973"/>
    <w:rsid w:val="003C69BB"/>
    <w:rsid w:val="003D0D6F"/>
    <w:rsid w:val="003F5697"/>
    <w:rsid w:val="004372F5"/>
    <w:rsid w:val="00454A26"/>
    <w:rsid w:val="00454EA5"/>
    <w:rsid w:val="00462F3C"/>
    <w:rsid w:val="00464EC5"/>
    <w:rsid w:val="00473250"/>
    <w:rsid w:val="004855B5"/>
    <w:rsid w:val="00486663"/>
    <w:rsid w:val="004A4577"/>
    <w:rsid w:val="004B5B43"/>
    <w:rsid w:val="004C5CE2"/>
    <w:rsid w:val="004C6510"/>
    <w:rsid w:val="004D1371"/>
    <w:rsid w:val="004D78FC"/>
    <w:rsid w:val="004F1F18"/>
    <w:rsid w:val="005005D7"/>
    <w:rsid w:val="00502FC9"/>
    <w:rsid w:val="00522CA4"/>
    <w:rsid w:val="005236E3"/>
    <w:rsid w:val="00524C79"/>
    <w:rsid w:val="005260A0"/>
    <w:rsid w:val="0054078A"/>
    <w:rsid w:val="00542C12"/>
    <w:rsid w:val="005760CC"/>
    <w:rsid w:val="005B20AB"/>
    <w:rsid w:val="005B692B"/>
    <w:rsid w:val="005D2A57"/>
    <w:rsid w:val="005D31AC"/>
    <w:rsid w:val="005D3F16"/>
    <w:rsid w:val="005E5260"/>
    <w:rsid w:val="005F3EAA"/>
    <w:rsid w:val="006201B5"/>
    <w:rsid w:val="006247FD"/>
    <w:rsid w:val="00664C9B"/>
    <w:rsid w:val="006B0187"/>
    <w:rsid w:val="006C79A4"/>
    <w:rsid w:val="006D58E1"/>
    <w:rsid w:val="006D6659"/>
    <w:rsid w:val="006F0ED0"/>
    <w:rsid w:val="00700272"/>
    <w:rsid w:val="0070604F"/>
    <w:rsid w:val="00707B6D"/>
    <w:rsid w:val="00710922"/>
    <w:rsid w:val="00712BF4"/>
    <w:rsid w:val="00724C7F"/>
    <w:rsid w:val="00741CD0"/>
    <w:rsid w:val="00767C31"/>
    <w:rsid w:val="00783CFF"/>
    <w:rsid w:val="007A110A"/>
    <w:rsid w:val="007A47F5"/>
    <w:rsid w:val="007A493B"/>
    <w:rsid w:val="007A4EF4"/>
    <w:rsid w:val="007A4F3A"/>
    <w:rsid w:val="007B28C8"/>
    <w:rsid w:val="007E3C95"/>
    <w:rsid w:val="00805C2B"/>
    <w:rsid w:val="0081289D"/>
    <w:rsid w:val="0086334E"/>
    <w:rsid w:val="00863AD0"/>
    <w:rsid w:val="0087128D"/>
    <w:rsid w:val="00880297"/>
    <w:rsid w:val="008863DA"/>
    <w:rsid w:val="00895084"/>
    <w:rsid w:val="008C08D4"/>
    <w:rsid w:val="008C484D"/>
    <w:rsid w:val="008C7A34"/>
    <w:rsid w:val="008C7D4A"/>
    <w:rsid w:val="008D78A1"/>
    <w:rsid w:val="008F0C8E"/>
    <w:rsid w:val="008F496E"/>
    <w:rsid w:val="008F52D9"/>
    <w:rsid w:val="009113E8"/>
    <w:rsid w:val="009123F8"/>
    <w:rsid w:val="00912837"/>
    <w:rsid w:val="00924FFD"/>
    <w:rsid w:val="009250FC"/>
    <w:rsid w:val="00942E2A"/>
    <w:rsid w:val="009531C6"/>
    <w:rsid w:val="00953A68"/>
    <w:rsid w:val="00974FAA"/>
    <w:rsid w:val="00990012"/>
    <w:rsid w:val="009A3831"/>
    <w:rsid w:val="009C45D4"/>
    <w:rsid w:val="009E02B1"/>
    <w:rsid w:val="009E1A7F"/>
    <w:rsid w:val="009E465E"/>
    <w:rsid w:val="009F2A55"/>
    <w:rsid w:val="009F55C3"/>
    <w:rsid w:val="00A225DA"/>
    <w:rsid w:val="00A24E35"/>
    <w:rsid w:val="00A3187F"/>
    <w:rsid w:val="00A319FD"/>
    <w:rsid w:val="00A44936"/>
    <w:rsid w:val="00A5505A"/>
    <w:rsid w:val="00A63DA5"/>
    <w:rsid w:val="00A73C96"/>
    <w:rsid w:val="00A776FE"/>
    <w:rsid w:val="00A857A8"/>
    <w:rsid w:val="00A91177"/>
    <w:rsid w:val="00AA1990"/>
    <w:rsid w:val="00AC3C6B"/>
    <w:rsid w:val="00AD29AC"/>
    <w:rsid w:val="00AF7B92"/>
    <w:rsid w:val="00B00219"/>
    <w:rsid w:val="00B163C7"/>
    <w:rsid w:val="00B21AAF"/>
    <w:rsid w:val="00B22318"/>
    <w:rsid w:val="00B30103"/>
    <w:rsid w:val="00B30330"/>
    <w:rsid w:val="00B36347"/>
    <w:rsid w:val="00B45D0F"/>
    <w:rsid w:val="00B62550"/>
    <w:rsid w:val="00B66594"/>
    <w:rsid w:val="00B70027"/>
    <w:rsid w:val="00B71479"/>
    <w:rsid w:val="00B77B1D"/>
    <w:rsid w:val="00B96B1E"/>
    <w:rsid w:val="00BD6BBA"/>
    <w:rsid w:val="00BF121F"/>
    <w:rsid w:val="00C016A0"/>
    <w:rsid w:val="00C14C45"/>
    <w:rsid w:val="00C26006"/>
    <w:rsid w:val="00C53CAF"/>
    <w:rsid w:val="00C63D8B"/>
    <w:rsid w:val="00C87170"/>
    <w:rsid w:val="00CB05E3"/>
    <w:rsid w:val="00CB39D7"/>
    <w:rsid w:val="00CD70D4"/>
    <w:rsid w:val="00CE590C"/>
    <w:rsid w:val="00CF21D9"/>
    <w:rsid w:val="00CF3A1D"/>
    <w:rsid w:val="00CF490C"/>
    <w:rsid w:val="00CF4E69"/>
    <w:rsid w:val="00D22550"/>
    <w:rsid w:val="00D265F2"/>
    <w:rsid w:val="00D5611D"/>
    <w:rsid w:val="00D7091C"/>
    <w:rsid w:val="00D729E4"/>
    <w:rsid w:val="00D7527C"/>
    <w:rsid w:val="00D8682B"/>
    <w:rsid w:val="00DB508C"/>
    <w:rsid w:val="00DB52D2"/>
    <w:rsid w:val="00DC2D1B"/>
    <w:rsid w:val="00DD067D"/>
    <w:rsid w:val="00DF664A"/>
    <w:rsid w:val="00E0477D"/>
    <w:rsid w:val="00E430A2"/>
    <w:rsid w:val="00E509C1"/>
    <w:rsid w:val="00E551B9"/>
    <w:rsid w:val="00E61D81"/>
    <w:rsid w:val="00E637D7"/>
    <w:rsid w:val="00E64B41"/>
    <w:rsid w:val="00E77220"/>
    <w:rsid w:val="00E807D4"/>
    <w:rsid w:val="00E850B5"/>
    <w:rsid w:val="00E96F7A"/>
    <w:rsid w:val="00EA3FEE"/>
    <w:rsid w:val="00EB506F"/>
    <w:rsid w:val="00EC2D4A"/>
    <w:rsid w:val="00ED7174"/>
    <w:rsid w:val="00F0584F"/>
    <w:rsid w:val="00F072A8"/>
    <w:rsid w:val="00F15605"/>
    <w:rsid w:val="00F35BFE"/>
    <w:rsid w:val="00F43095"/>
    <w:rsid w:val="00F5625D"/>
    <w:rsid w:val="00F56792"/>
    <w:rsid w:val="00F5750F"/>
    <w:rsid w:val="00F63B1E"/>
    <w:rsid w:val="00F82577"/>
    <w:rsid w:val="00F93D64"/>
    <w:rsid w:val="00F96474"/>
    <w:rsid w:val="00FB52AC"/>
    <w:rsid w:val="00FC2744"/>
    <w:rsid w:val="00FE22B8"/>
    <w:rsid w:val="00FE63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706F42"/>
  <w15:docId w15:val="{C46061E3-BC8B-CA49-8762-5666B891F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7E50"/>
    <w:pPr>
      <w:spacing w:line="240" w:lineRule="auto"/>
    </w:pPr>
    <w:rPr>
      <w:rFonts w:ascii="Times New Roman" w:eastAsia="Times New Roman" w:hAnsi="Times New Roman" w:cs="Times New Roman"/>
      <w:sz w:val="24"/>
      <w:szCs w:val="24"/>
      <w:lang w:val="en-US"/>
    </w:rPr>
  </w:style>
  <w:style w:type="paragraph" w:styleId="Heading1">
    <w:name w:val="heading 1"/>
    <w:basedOn w:val="Normal"/>
    <w:next w:val="Normal"/>
    <w:uiPriority w:val="9"/>
    <w:qFormat/>
    <w:pPr>
      <w:keepNext/>
      <w:keepLines/>
      <w:spacing w:before="400" w:after="120" w:line="276" w:lineRule="auto"/>
      <w:outlineLvl w:val="0"/>
    </w:pPr>
    <w:rPr>
      <w:rFonts w:ascii="Arial" w:eastAsia="Arial" w:hAnsi="Arial" w:cs="Arial"/>
      <w:sz w:val="40"/>
      <w:szCs w:val="40"/>
      <w:lang w:val="en"/>
    </w:rPr>
  </w:style>
  <w:style w:type="paragraph" w:styleId="Heading2">
    <w:name w:val="heading 2"/>
    <w:basedOn w:val="Normal"/>
    <w:next w:val="Normal"/>
    <w:uiPriority w:val="9"/>
    <w:semiHidden/>
    <w:unhideWhenUsed/>
    <w:qFormat/>
    <w:pPr>
      <w:keepNext/>
      <w:keepLines/>
      <w:spacing w:before="360" w:after="120" w:line="276" w:lineRule="auto"/>
      <w:outlineLvl w:val="1"/>
    </w:pPr>
    <w:rPr>
      <w:rFonts w:ascii="Arial" w:eastAsia="Arial" w:hAnsi="Arial" w:cs="Arial"/>
      <w:sz w:val="32"/>
      <w:szCs w:val="32"/>
      <w:lang w:val="en"/>
    </w:rPr>
  </w:style>
  <w:style w:type="paragraph" w:styleId="Heading3">
    <w:name w:val="heading 3"/>
    <w:basedOn w:val="Normal"/>
    <w:next w:val="Normal"/>
    <w:uiPriority w:val="9"/>
    <w:semiHidden/>
    <w:unhideWhenUsed/>
    <w:qFormat/>
    <w:pPr>
      <w:keepNext/>
      <w:keepLines/>
      <w:spacing w:before="320" w:after="80" w:line="276" w:lineRule="auto"/>
      <w:outlineLvl w:val="2"/>
    </w:pPr>
    <w:rPr>
      <w:rFonts w:ascii="Arial" w:eastAsia="Arial" w:hAnsi="Arial" w:cs="Arial"/>
      <w:color w:val="434343"/>
      <w:sz w:val="28"/>
      <w:szCs w:val="28"/>
      <w:lang w:val="en"/>
    </w:rPr>
  </w:style>
  <w:style w:type="paragraph" w:styleId="Heading4">
    <w:name w:val="heading 4"/>
    <w:basedOn w:val="Normal"/>
    <w:next w:val="Normal"/>
    <w:uiPriority w:val="9"/>
    <w:semiHidden/>
    <w:unhideWhenUsed/>
    <w:qFormat/>
    <w:pPr>
      <w:keepNext/>
      <w:keepLines/>
      <w:spacing w:before="280" w:after="80" w:line="276" w:lineRule="auto"/>
      <w:outlineLvl w:val="3"/>
    </w:pPr>
    <w:rPr>
      <w:rFonts w:ascii="Arial" w:eastAsia="Arial" w:hAnsi="Arial" w:cs="Arial"/>
      <w:color w:val="666666"/>
      <w:lang w:val="en"/>
    </w:rPr>
  </w:style>
  <w:style w:type="paragraph" w:styleId="Heading5">
    <w:name w:val="heading 5"/>
    <w:basedOn w:val="Normal"/>
    <w:next w:val="Normal"/>
    <w:uiPriority w:val="9"/>
    <w:semiHidden/>
    <w:unhideWhenUsed/>
    <w:qFormat/>
    <w:pPr>
      <w:keepNext/>
      <w:keepLines/>
      <w:spacing w:before="240" w:after="80" w:line="276" w:lineRule="auto"/>
      <w:outlineLvl w:val="4"/>
    </w:pPr>
    <w:rPr>
      <w:rFonts w:ascii="Arial" w:eastAsia="Arial" w:hAnsi="Arial" w:cs="Arial"/>
      <w:color w:val="666666"/>
      <w:sz w:val="22"/>
      <w:szCs w:val="22"/>
      <w:lang w:val="en"/>
    </w:rPr>
  </w:style>
  <w:style w:type="paragraph" w:styleId="Heading6">
    <w:name w:val="heading 6"/>
    <w:basedOn w:val="Normal"/>
    <w:next w:val="Normal"/>
    <w:uiPriority w:val="9"/>
    <w:semiHidden/>
    <w:unhideWhenUsed/>
    <w:qFormat/>
    <w:pPr>
      <w:keepNext/>
      <w:keepLines/>
      <w:spacing w:before="240" w:after="80" w:line="276" w:lineRule="auto"/>
      <w:outlineLvl w:val="5"/>
    </w:pPr>
    <w:rPr>
      <w:rFonts w:ascii="Arial" w:eastAsia="Arial" w:hAnsi="Arial" w:cs="Arial"/>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line="276" w:lineRule="auto"/>
    </w:pPr>
    <w:rPr>
      <w:rFonts w:ascii="Arial" w:eastAsia="Arial" w:hAnsi="Arial" w:cs="Arial"/>
      <w:sz w:val="52"/>
      <w:szCs w:val="52"/>
      <w:lang w:val="en"/>
    </w:rPr>
  </w:style>
  <w:style w:type="paragraph" w:styleId="Subtitle">
    <w:name w:val="Subtitle"/>
    <w:basedOn w:val="Normal"/>
    <w:next w:val="Normal"/>
    <w:uiPriority w:val="11"/>
    <w:qFormat/>
    <w:pPr>
      <w:keepNext/>
      <w:keepLines/>
      <w:spacing w:after="320" w:line="276" w:lineRule="auto"/>
    </w:pPr>
    <w:rPr>
      <w:rFonts w:ascii="Arial" w:eastAsia="Arial" w:hAnsi="Arial" w:cs="Arial"/>
      <w:color w:val="666666"/>
      <w:sz w:val="30"/>
      <w:szCs w:val="30"/>
      <w:lang w:val="en"/>
    </w:rPr>
  </w:style>
  <w:style w:type="paragraph" w:styleId="NormalWeb">
    <w:name w:val="Normal (Web)"/>
    <w:basedOn w:val="Normal"/>
    <w:uiPriority w:val="99"/>
    <w:unhideWhenUsed/>
    <w:rsid w:val="00767C31"/>
    <w:pPr>
      <w:spacing w:before="100" w:beforeAutospacing="1" w:after="100" w:afterAutospacing="1"/>
    </w:pPr>
  </w:style>
  <w:style w:type="paragraph" w:styleId="ListParagraph">
    <w:name w:val="List Paragraph"/>
    <w:basedOn w:val="Normal"/>
    <w:uiPriority w:val="34"/>
    <w:qFormat/>
    <w:rsid w:val="003F5697"/>
    <w:pPr>
      <w:spacing w:line="276" w:lineRule="auto"/>
      <w:ind w:left="720"/>
      <w:contextualSpacing/>
    </w:pPr>
    <w:rPr>
      <w:rFonts w:ascii="Arial" w:eastAsia="Arial" w:hAnsi="Arial" w:cs="Arial"/>
      <w:sz w:val="22"/>
      <w:szCs w:val="22"/>
      <w:lang w:val="en"/>
    </w:rPr>
  </w:style>
  <w:style w:type="character" w:styleId="Strong">
    <w:name w:val="Strong"/>
    <w:basedOn w:val="DefaultParagraphFont"/>
    <w:uiPriority w:val="22"/>
    <w:qFormat/>
    <w:rsid w:val="006247FD"/>
    <w:rPr>
      <w:b/>
      <w:bCs/>
    </w:rPr>
  </w:style>
  <w:style w:type="character" w:styleId="Hyperlink">
    <w:name w:val="Hyperlink"/>
    <w:basedOn w:val="DefaultParagraphFont"/>
    <w:uiPriority w:val="99"/>
    <w:semiHidden/>
    <w:unhideWhenUsed/>
    <w:rsid w:val="006247FD"/>
    <w:rPr>
      <w:color w:val="0000FF"/>
      <w:u w:val="single"/>
    </w:rPr>
  </w:style>
  <w:style w:type="paragraph" w:styleId="Header">
    <w:name w:val="header"/>
    <w:basedOn w:val="Normal"/>
    <w:link w:val="HeaderChar"/>
    <w:uiPriority w:val="99"/>
    <w:unhideWhenUsed/>
    <w:rsid w:val="00B66594"/>
    <w:pPr>
      <w:tabs>
        <w:tab w:val="center" w:pos="4680"/>
        <w:tab w:val="right" w:pos="9360"/>
      </w:tabs>
    </w:pPr>
  </w:style>
  <w:style w:type="character" w:customStyle="1" w:styleId="HeaderChar">
    <w:name w:val="Header Char"/>
    <w:basedOn w:val="DefaultParagraphFont"/>
    <w:link w:val="Header"/>
    <w:uiPriority w:val="99"/>
    <w:rsid w:val="00B66594"/>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B66594"/>
    <w:pPr>
      <w:tabs>
        <w:tab w:val="center" w:pos="4680"/>
        <w:tab w:val="right" w:pos="9360"/>
      </w:tabs>
    </w:pPr>
  </w:style>
  <w:style w:type="character" w:customStyle="1" w:styleId="FooterChar">
    <w:name w:val="Footer Char"/>
    <w:basedOn w:val="DefaultParagraphFont"/>
    <w:link w:val="Footer"/>
    <w:uiPriority w:val="99"/>
    <w:rsid w:val="00B66594"/>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555446">
      <w:bodyDiv w:val="1"/>
      <w:marLeft w:val="0"/>
      <w:marRight w:val="0"/>
      <w:marTop w:val="0"/>
      <w:marBottom w:val="0"/>
      <w:divBdr>
        <w:top w:val="none" w:sz="0" w:space="0" w:color="auto"/>
        <w:left w:val="none" w:sz="0" w:space="0" w:color="auto"/>
        <w:bottom w:val="none" w:sz="0" w:space="0" w:color="auto"/>
        <w:right w:val="none" w:sz="0" w:space="0" w:color="auto"/>
      </w:divBdr>
      <w:divsChild>
        <w:div w:id="77212508">
          <w:marLeft w:val="0"/>
          <w:marRight w:val="0"/>
          <w:marTop w:val="0"/>
          <w:marBottom w:val="0"/>
          <w:divBdr>
            <w:top w:val="none" w:sz="0" w:space="0" w:color="auto"/>
            <w:left w:val="none" w:sz="0" w:space="0" w:color="auto"/>
            <w:bottom w:val="none" w:sz="0" w:space="0" w:color="auto"/>
            <w:right w:val="none" w:sz="0" w:space="0" w:color="auto"/>
          </w:divBdr>
          <w:divsChild>
            <w:div w:id="704527157">
              <w:marLeft w:val="0"/>
              <w:marRight w:val="0"/>
              <w:marTop w:val="0"/>
              <w:marBottom w:val="0"/>
              <w:divBdr>
                <w:top w:val="none" w:sz="0" w:space="0" w:color="auto"/>
                <w:left w:val="none" w:sz="0" w:space="0" w:color="auto"/>
                <w:bottom w:val="none" w:sz="0" w:space="0" w:color="auto"/>
                <w:right w:val="none" w:sz="0" w:space="0" w:color="auto"/>
              </w:divBdr>
              <w:divsChild>
                <w:div w:id="1514686734">
                  <w:marLeft w:val="0"/>
                  <w:marRight w:val="0"/>
                  <w:marTop w:val="0"/>
                  <w:marBottom w:val="0"/>
                  <w:divBdr>
                    <w:top w:val="none" w:sz="0" w:space="0" w:color="auto"/>
                    <w:left w:val="none" w:sz="0" w:space="0" w:color="auto"/>
                    <w:bottom w:val="none" w:sz="0" w:space="0" w:color="auto"/>
                    <w:right w:val="none" w:sz="0" w:space="0" w:color="auto"/>
                  </w:divBdr>
                  <w:divsChild>
                    <w:div w:id="176056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28294">
      <w:bodyDiv w:val="1"/>
      <w:marLeft w:val="0"/>
      <w:marRight w:val="0"/>
      <w:marTop w:val="0"/>
      <w:marBottom w:val="0"/>
      <w:divBdr>
        <w:top w:val="none" w:sz="0" w:space="0" w:color="auto"/>
        <w:left w:val="none" w:sz="0" w:space="0" w:color="auto"/>
        <w:bottom w:val="none" w:sz="0" w:space="0" w:color="auto"/>
        <w:right w:val="none" w:sz="0" w:space="0" w:color="auto"/>
      </w:divBdr>
    </w:div>
    <w:div w:id="177306914">
      <w:bodyDiv w:val="1"/>
      <w:marLeft w:val="0"/>
      <w:marRight w:val="0"/>
      <w:marTop w:val="0"/>
      <w:marBottom w:val="0"/>
      <w:divBdr>
        <w:top w:val="none" w:sz="0" w:space="0" w:color="auto"/>
        <w:left w:val="none" w:sz="0" w:space="0" w:color="auto"/>
        <w:bottom w:val="none" w:sz="0" w:space="0" w:color="auto"/>
        <w:right w:val="none" w:sz="0" w:space="0" w:color="auto"/>
      </w:divBdr>
    </w:div>
    <w:div w:id="214319878">
      <w:bodyDiv w:val="1"/>
      <w:marLeft w:val="0"/>
      <w:marRight w:val="0"/>
      <w:marTop w:val="0"/>
      <w:marBottom w:val="0"/>
      <w:divBdr>
        <w:top w:val="none" w:sz="0" w:space="0" w:color="auto"/>
        <w:left w:val="none" w:sz="0" w:space="0" w:color="auto"/>
        <w:bottom w:val="none" w:sz="0" w:space="0" w:color="auto"/>
        <w:right w:val="none" w:sz="0" w:space="0" w:color="auto"/>
      </w:divBdr>
    </w:div>
    <w:div w:id="709766179">
      <w:bodyDiv w:val="1"/>
      <w:marLeft w:val="0"/>
      <w:marRight w:val="0"/>
      <w:marTop w:val="0"/>
      <w:marBottom w:val="0"/>
      <w:divBdr>
        <w:top w:val="none" w:sz="0" w:space="0" w:color="auto"/>
        <w:left w:val="none" w:sz="0" w:space="0" w:color="auto"/>
        <w:bottom w:val="none" w:sz="0" w:space="0" w:color="auto"/>
        <w:right w:val="none" w:sz="0" w:space="0" w:color="auto"/>
      </w:divBdr>
    </w:div>
    <w:div w:id="747312666">
      <w:bodyDiv w:val="1"/>
      <w:marLeft w:val="0"/>
      <w:marRight w:val="0"/>
      <w:marTop w:val="0"/>
      <w:marBottom w:val="0"/>
      <w:divBdr>
        <w:top w:val="none" w:sz="0" w:space="0" w:color="auto"/>
        <w:left w:val="none" w:sz="0" w:space="0" w:color="auto"/>
        <w:bottom w:val="none" w:sz="0" w:space="0" w:color="auto"/>
        <w:right w:val="none" w:sz="0" w:space="0" w:color="auto"/>
      </w:divBdr>
    </w:div>
    <w:div w:id="864253479">
      <w:bodyDiv w:val="1"/>
      <w:marLeft w:val="0"/>
      <w:marRight w:val="0"/>
      <w:marTop w:val="0"/>
      <w:marBottom w:val="0"/>
      <w:divBdr>
        <w:top w:val="none" w:sz="0" w:space="0" w:color="auto"/>
        <w:left w:val="none" w:sz="0" w:space="0" w:color="auto"/>
        <w:bottom w:val="none" w:sz="0" w:space="0" w:color="auto"/>
        <w:right w:val="none" w:sz="0" w:space="0" w:color="auto"/>
      </w:divBdr>
    </w:div>
    <w:div w:id="874729585">
      <w:bodyDiv w:val="1"/>
      <w:marLeft w:val="0"/>
      <w:marRight w:val="0"/>
      <w:marTop w:val="0"/>
      <w:marBottom w:val="0"/>
      <w:divBdr>
        <w:top w:val="none" w:sz="0" w:space="0" w:color="auto"/>
        <w:left w:val="none" w:sz="0" w:space="0" w:color="auto"/>
        <w:bottom w:val="none" w:sz="0" w:space="0" w:color="auto"/>
        <w:right w:val="none" w:sz="0" w:space="0" w:color="auto"/>
      </w:divBdr>
      <w:divsChild>
        <w:div w:id="1818180243">
          <w:marLeft w:val="0"/>
          <w:marRight w:val="0"/>
          <w:marTop w:val="0"/>
          <w:marBottom w:val="0"/>
          <w:divBdr>
            <w:top w:val="none" w:sz="0" w:space="0" w:color="auto"/>
            <w:left w:val="none" w:sz="0" w:space="0" w:color="auto"/>
            <w:bottom w:val="none" w:sz="0" w:space="0" w:color="auto"/>
            <w:right w:val="none" w:sz="0" w:space="0" w:color="auto"/>
          </w:divBdr>
          <w:divsChild>
            <w:div w:id="1219710684">
              <w:marLeft w:val="0"/>
              <w:marRight w:val="0"/>
              <w:marTop w:val="0"/>
              <w:marBottom w:val="0"/>
              <w:divBdr>
                <w:top w:val="none" w:sz="0" w:space="0" w:color="auto"/>
                <w:left w:val="none" w:sz="0" w:space="0" w:color="auto"/>
                <w:bottom w:val="none" w:sz="0" w:space="0" w:color="auto"/>
                <w:right w:val="none" w:sz="0" w:space="0" w:color="auto"/>
              </w:divBdr>
              <w:divsChild>
                <w:div w:id="195678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482878">
      <w:bodyDiv w:val="1"/>
      <w:marLeft w:val="0"/>
      <w:marRight w:val="0"/>
      <w:marTop w:val="0"/>
      <w:marBottom w:val="0"/>
      <w:divBdr>
        <w:top w:val="none" w:sz="0" w:space="0" w:color="auto"/>
        <w:left w:val="none" w:sz="0" w:space="0" w:color="auto"/>
        <w:bottom w:val="none" w:sz="0" w:space="0" w:color="auto"/>
        <w:right w:val="none" w:sz="0" w:space="0" w:color="auto"/>
      </w:divBdr>
    </w:div>
    <w:div w:id="1496843315">
      <w:bodyDiv w:val="1"/>
      <w:marLeft w:val="0"/>
      <w:marRight w:val="0"/>
      <w:marTop w:val="0"/>
      <w:marBottom w:val="0"/>
      <w:divBdr>
        <w:top w:val="none" w:sz="0" w:space="0" w:color="auto"/>
        <w:left w:val="none" w:sz="0" w:space="0" w:color="auto"/>
        <w:bottom w:val="none" w:sz="0" w:space="0" w:color="auto"/>
        <w:right w:val="none" w:sz="0" w:space="0" w:color="auto"/>
      </w:divBdr>
      <w:divsChild>
        <w:div w:id="1895240654">
          <w:marLeft w:val="0"/>
          <w:marRight w:val="0"/>
          <w:marTop w:val="0"/>
          <w:marBottom w:val="0"/>
          <w:divBdr>
            <w:top w:val="none" w:sz="0" w:space="0" w:color="auto"/>
            <w:left w:val="none" w:sz="0" w:space="0" w:color="auto"/>
            <w:bottom w:val="none" w:sz="0" w:space="0" w:color="auto"/>
            <w:right w:val="none" w:sz="0" w:space="0" w:color="auto"/>
          </w:divBdr>
          <w:divsChild>
            <w:div w:id="2058964590">
              <w:marLeft w:val="0"/>
              <w:marRight w:val="0"/>
              <w:marTop w:val="0"/>
              <w:marBottom w:val="0"/>
              <w:divBdr>
                <w:top w:val="none" w:sz="0" w:space="0" w:color="auto"/>
                <w:left w:val="none" w:sz="0" w:space="0" w:color="auto"/>
                <w:bottom w:val="none" w:sz="0" w:space="0" w:color="auto"/>
                <w:right w:val="none" w:sz="0" w:space="0" w:color="auto"/>
              </w:divBdr>
              <w:divsChild>
                <w:div w:id="200149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94226">
      <w:bodyDiv w:val="1"/>
      <w:marLeft w:val="0"/>
      <w:marRight w:val="0"/>
      <w:marTop w:val="0"/>
      <w:marBottom w:val="0"/>
      <w:divBdr>
        <w:top w:val="none" w:sz="0" w:space="0" w:color="auto"/>
        <w:left w:val="none" w:sz="0" w:space="0" w:color="auto"/>
        <w:bottom w:val="none" w:sz="0" w:space="0" w:color="auto"/>
        <w:right w:val="none" w:sz="0" w:space="0" w:color="auto"/>
      </w:divBdr>
    </w:div>
    <w:div w:id="1594163205">
      <w:bodyDiv w:val="1"/>
      <w:marLeft w:val="0"/>
      <w:marRight w:val="0"/>
      <w:marTop w:val="0"/>
      <w:marBottom w:val="0"/>
      <w:divBdr>
        <w:top w:val="none" w:sz="0" w:space="0" w:color="auto"/>
        <w:left w:val="none" w:sz="0" w:space="0" w:color="auto"/>
        <w:bottom w:val="none" w:sz="0" w:space="0" w:color="auto"/>
        <w:right w:val="none" w:sz="0" w:space="0" w:color="auto"/>
      </w:divBdr>
      <w:divsChild>
        <w:div w:id="893811886">
          <w:marLeft w:val="0"/>
          <w:marRight w:val="0"/>
          <w:marTop w:val="0"/>
          <w:marBottom w:val="0"/>
          <w:divBdr>
            <w:top w:val="none" w:sz="0" w:space="0" w:color="auto"/>
            <w:left w:val="none" w:sz="0" w:space="0" w:color="auto"/>
            <w:bottom w:val="none" w:sz="0" w:space="0" w:color="auto"/>
            <w:right w:val="none" w:sz="0" w:space="0" w:color="auto"/>
          </w:divBdr>
          <w:divsChild>
            <w:div w:id="1727685473">
              <w:marLeft w:val="0"/>
              <w:marRight w:val="0"/>
              <w:marTop w:val="0"/>
              <w:marBottom w:val="0"/>
              <w:divBdr>
                <w:top w:val="none" w:sz="0" w:space="0" w:color="auto"/>
                <w:left w:val="none" w:sz="0" w:space="0" w:color="auto"/>
                <w:bottom w:val="none" w:sz="0" w:space="0" w:color="auto"/>
                <w:right w:val="none" w:sz="0" w:space="0" w:color="auto"/>
              </w:divBdr>
              <w:divsChild>
                <w:div w:id="52167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579687">
      <w:bodyDiv w:val="1"/>
      <w:marLeft w:val="0"/>
      <w:marRight w:val="0"/>
      <w:marTop w:val="0"/>
      <w:marBottom w:val="0"/>
      <w:divBdr>
        <w:top w:val="none" w:sz="0" w:space="0" w:color="auto"/>
        <w:left w:val="none" w:sz="0" w:space="0" w:color="auto"/>
        <w:bottom w:val="none" w:sz="0" w:space="0" w:color="auto"/>
        <w:right w:val="none" w:sz="0" w:space="0" w:color="auto"/>
      </w:divBdr>
    </w:div>
    <w:div w:id="1673489502">
      <w:bodyDiv w:val="1"/>
      <w:marLeft w:val="0"/>
      <w:marRight w:val="0"/>
      <w:marTop w:val="0"/>
      <w:marBottom w:val="0"/>
      <w:divBdr>
        <w:top w:val="none" w:sz="0" w:space="0" w:color="auto"/>
        <w:left w:val="none" w:sz="0" w:space="0" w:color="auto"/>
        <w:bottom w:val="none" w:sz="0" w:space="0" w:color="auto"/>
        <w:right w:val="none" w:sz="0" w:space="0" w:color="auto"/>
      </w:divBdr>
    </w:div>
    <w:div w:id="1723744888">
      <w:bodyDiv w:val="1"/>
      <w:marLeft w:val="0"/>
      <w:marRight w:val="0"/>
      <w:marTop w:val="0"/>
      <w:marBottom w:val="0"/>
      <w:divBdr>
        <w:top w:val="none" w:sz="0" w:space="0" w:color="auto"/>
        <w:left w:val="none" w:sz="0" w:space="0" w:color="auto"/>
        <w:bottom w:val="none" w:sz="0" w:space="0" w:color="auto"/>
        <w:right w:val="none" w:sz="0" w:space="0" w:color="auto"/>
      </w:divBdr>
      <w:divsChild>
        <w:div w:id="401413134">
          <w:marLeft w:val="0"/>
          <w:marRight w:val="0"/>
          <w:marTop w:val="0"/>
          <w:marBottom w:val="0"/>
          <w:divBdr>
            <w:top w:val="none" w:sz="0" w:space="0" w:color="auto"/>
            <w:left w:val="none" w:sz="0" w:space="0" w:color="auto"/>
            <w:bottom w:val="none" w:sz="0" w:space="0" w:color="auto"/>
            <w:right w:val="none" w:sz="0" w:space="0" w:color="auto"/>
          </w:divBdr>
          <w:divsChild>
            <w:div w:id="1644046993">
              <w:marLeft w:val="0"/>
              <w:marRight w:val="0"/>
              <w:marTop w:val="0"/>
              <w:marBottom w:val="0"/>
              <w:divBdr>
                <w:top w:val="none" w:sz="0" w:space="0" w:color="auto"/>
                <w:left w:val="none" w:sz="0" w:space="0" w:color="auto"/>
                <w:bottom w:val="none" w:sz="0" w:space="0" w:color="auto"/>
                <w:right w:val="none" w:sz="0" w:space="0" w:color="auto"/>
              </w:divBdr>
              <w:divsChild>
                <w:div w:id="79452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5</Pages>
  <Words>1680</Words>
  <Characters>9582</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Kathylene Saravane</dc:creator>
  <cp:keywords/>
  <dc:description/>
  <cp:lastModifiedBy>Kathylene Saravane</cp:lastModifiedBy>
  <cp:revision>3</cp:revision>
  <dcterms:created xsi:type="dcterms:W3CDTF">2019-12-01T13:24:00Z</dcterms:created>
  <dcterms:modified xsi:type="dcterms:W3CDTF">2019-12-01T13:36:00Z</dcterms:modified>
</cp:coreProperties>
</file>