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070CD" w14:textId="77777777" w:rsidR="00364B46" w:rsidRPr="00364B46" w:rsidRDefault="00EA6AE3" w:rsidP="00364B46">
      <w:pPr>
        <w:jc w:val="center"/>
        <w:rPr>
          <w:b/>
        </w:rPr>
      </w:pPr>
      <w:r>
        <w:rPr>
          <w:b/>
        </w:rPr>
        <w:t>Determination</w:t>
      </w:r>
      <w:r w:rsidR="00B8191A">
        <w:rPr>
          <w:b/>
        </w:rPr>
        <w:t xml:space="preserve"> of Short, </w:t>
      </w:r>
      <w:r w:rsidR="00364B46">
        <w:rPr>
          <w:b/>
        </w:rPr>
        <w:t xml:space="preserve">Amyloid Beta </w:t>
      </w:r>
      <w:r w:rsidR="00B8191A">
        <w:rPr>
          <w:b/>
        </w:rPr>
        <w:t>Derived Peptides</w:t>
      </w:r>
      <w:r w:rsidR="00364B46">
        <w:rPr>
          <w:b/>
        </w:rPr>
        <w:br/>
        <w:t xml:space="preserve">Which </w:t>
      </w:r>
      <w:r w:rsidR="00B8191A">
        <w:rPr>
          <w:b/>
        </w:rPr>
        <w:t>Inhibit Binding of Amyloid Beta to</w:t>
      </w:r>
      <w:r w:rsidR="00364B46">
        <w:rPr>
          <w:b/>
        </w:rPr>
        <w:t xml:space="preserve"> Apolipoprotein E</w:t>
      </w:r>
    </w:p>
    <w:p w14:paraId="6E841A26" w14:textId="77777777" w:rsidR="00AD132D" w:rsidRDefault="00AD132D" w:rsidP="00AD132D"/>
    <w:p w14:paraId="5CEC0E0D" w14:textId="77777777" w:rsidR="00AD132D" w:rsidRPr="00AD132D" w:rsidRDefault="00AD132D" w:rsidP="00AD132D">
      <w:pPr>
        <w:rPr>
          <w:b/>
        </w:rPr>
      </w:pPr>
      <w:r w:rsidRPr="00AD132D">
        <w:rPr>
          <w:b/>
        </w:rPr>
        <w:t>I. Introduction</w:t>
      </w:r>
    </w:p>
    <w:p w14:paraId="66E3F870" w14:textId="77777777" w:rsidR="00AD132D" w:rsidRDefault="00AD132D"/>
    <w:p w14:paraId="52BEDA38" w14:textId="77777777" w:rsidR="00BB32DC" w:rsidRDefault="00584D47">
      <w:r>
        <w:t xml:space="preserve">Alzheimer’s disease is </w:t>
      </w:r>
      <w:r w:rsidR="00A75452">
        <w:t xml:space="preserve">a neurological </w:t>
      </w:r>
      <w:r w:rsidR="00EB4EEC">
        <w:t>disorder</w:t>
      </w:r>
      <w:r w:rsidR="00A75452">
        <w:t xml:space="preserve"> which a</w:t>
      </w:r>
      <w:r>
        <w:t>ffects the ability</w:t>
      </w:r>
      <w:r w:rsidR="00EB4EEC">
        <w:t xml:space="preserve"> of the brain</w:t>
      </w:r>
      <w:r>
        <w:t xml:space="preserve"> to store and retrieve memories. </w:t>
      </w:r>
      <w:r w:rsidR="00364B46">
        <w:t>It is estimated that 5.4 million Americans currently have Alzheimer, and projections have estimated that by the middle of the century, that number is expected to grow to 13.8 million</w:t>
      </w:r>
      <w:r w:rsidR="00364B46">
        <w:rPr>
          <w:vertAlign w:val="superscript"/>
        </w:rPr>
        <w:t>1</w:t>
      </w:r>
      <w:r w:rsidR="00364B46">
        <w:t xml:space="preserve">. </w:t>
      </w:r>
      <w:r w:rsidR="00AD132D">
        <w:t>Unfortunately for those diagnosed, there is no known cure for Alzheimer’s. There are drugs that are able to slow advancement of the disease, such as acetylcholinesterase inhibitors</w:t>
      </w:r>
      <w:r w:rsidR="009C22E0">
        <w:rPr>
          <w:vertAlign w:val="superscript"/>
        </w:rPr>
        <w:t>2</w:t>
      </w:r>
      <w:r w:rsidR="00AD132D">
        <w:t xml:space="preserve">, but they can only slow the inevitable. </w:t>
      </w:r>
      <w:r w:rsidR="00BB32DC">
        <w:t xml:space="preserve">However, as research on the development of Alzheimer’s continues, new pathways have been discovered that present possible targets for drug therapy. </w:t>
      </w:r>
    </w:p>
    <w:p w14:paraId="7EC68802" w14:textId="77777777" w:rsidR="00CD7F47" w:rsidRDefault="00CD7F47"/>
    <w:p w14:paraId="215CA39F" w14:textId="5951309A" w:rsidR="00BB32DC" w:rsidRPr="001700FB" w:rsidRDefault="0008707A" w:rsidP="00324470">
      <w:pPr>
        <w:rPr>
          <w:sz w:val="23"/>
          <w:szCs w:val="23"/>
        </w:rPr>
      </w:pPr>
      <w:r>
        <w:t>One such pathway that has been proposed is</w:t>
      </w:r>
      <w:r>
        <w:t xml:space="preserve"> the amyloid cascade hypothesis (ACH)</w:t>
      </w:r>
      <w:r>
        <w:rPr>
          <w:vertAlign w:val="superscript"/>
        </w:rPr>
        <w:t xml:space="preserve"> 3</w:t>
      </w:r>
      <w:r>
        <w:t>, which states that the cause of Alzheimer’s is the build-up of A</w:t>
      </w:r>
      <w:r>
        <w:rPr>
          <w:rFonts w:cs="Times New Roman"/>
        </w:rPr>
        <w:t>β</w:t>
      </w:r>
      <w:bookmarkStart w:id="0" w:name="_GoBack"/>
      <w:bookmarkEnd w:id="0"/>
      <w:r>
        <w:t xml:space="preserve"> in the brain.</w:t>
      </w:r>
      <w:r>
        <w:t xml:space="preserve"> </w:t>
      </w:r>
      <w:r w:rsidR="00BB32DC">
        <w:t>When the brains of those who die of Alzheimer’s are studied, one of the commonalities that researchers have found is the presence of plaques c</w:t>
      </w:r>
      <w:r w:rsidR="00907A95">
        <w:t>omposed of amyloid beta</w:t>
      </w:r>
      <w:r w:rsidR="001700FB">
        <w:t xml:space="preserve"> (A</w:t>
      </w:r>
      <w:r w:rsidR="001700FB">
        <w:rPr>
          <w:rFonts w:cs="Times New Roman"/>
        </w:rPr>
        <w:t>β)</w:t>
      </w:r>
      <w:r w:rsidR="00907A95">
        <w:t xml:space="preserve"> fibrils, fibrils being threadlike fibers composed of </w:t>
      </w:r>
      <w:r w:rsidR="00444E63">
        <w:t>proteins</w:t>
      </w:r>
      <w:r w:rsidR="00907A95">
        <w:t>.</w:t>
      </w:r>
      <w:r w:rsidR="001700FB">
        <w:t xml:space="preserve"> </w:t>
      </w:r>
      <w:r w:rsidR="001700FB">
        <w:rPr>
          <w:sz w:val="23"/>
          <w:szCs w:val="23"/>
        </w:rPr>
        <w:t xml:space="preserve">The length of </w:t>
      </w:r>
      <w:r w:rsidR="001700FB" w:rsidRPr="00D466C9">
        <w:rPr>
          <w:sz w:val="23"/>
          <w:szCs w:val="23"/>
        </w:rPr>
        <w:t>Aβ</w:t>
      </w:r>
      <w:r w:rsidR="001700FB">
        <w:rPr>
          <w:sz w:val="23"/>
          <w:szCs w:val="23"/>
        </w:rPr>
        <w:t xml:space="preserve"> varies from 36 to 43 residues, with the two most common peptides in plaques being </w:t>
      </w:r>
      <w:r w:rsidR="001700FB" w:rsidRPr="00D466C9">
        <w:rPr>
          <w:sz w:val="23"/>
          <w:szCs w:val="23"/>
        </w:rPr>
        <w:t>Aβ</w:t>
      </w:r>
      <w:r w:rsidR="001700FB">
        <w:rPr>
          <w:sz w:val="23"/>
          <w:szCs w:val="23"/>
        </w:rPr>
        <w:t xml:space="preserve">1-40 and </w:t>
      </w:r>
      <w:r w:rsidR="001700FB" w:rsidRPr="00D466C9">
        <w:rPr>
          <w:sz w:val="23"/>
          <w:szCs w:val="23"/>
        </w:rPr>
        <w:t>Aβ</w:t>
      </w:r>
      <w:r w:rsidR="001700FB">
        <w:rPr>
          <w:sz w:val="23"/>
          <w:szCs w:val="23"/>
        </w:rPr>
        <w:t>1-42</w:t>
      </w:r>
      <w:r w:rsidR="00324470">
        <w:rPr>
          <w:sz w:val="23"/>
          <w:szCs w:val="23"/>
          <w:vertAlign w:val="superscript"/>
        </w:rPr>
        <w:t>9</w:t>
      </w:r>
      <w:r w:rsidR="001700FB">
        <w:rPr>
          <w:sz w:val="23"/>
          <w:szCs w:val="23"/>
        </w:rPr>
        <w:t>. Aβ’s function is not well known; it seems to have various functions</w:t>
      </w:r>
      <w:r w:rsidR="00CD7F47">
        <w:rPr>
          <w:sz w:val="23"/>
          <w:szCs w:val="23"/>
        </w:rPr>
        <w:t>,</w:t>
      </w:r>
      <w:r w:rsidR="001700FB">
        <w:rPr>
          <w:sz w:val="23"/>
          <w:szCs w:val="23"/>
        </w:rPr>
        <w:t xml:space="preserve"> </w:t>
      </w:r>
      <w:r w:rsidR="00CD7F47">
        <w:rPr>
          <w:sz w:val="23"/>
          <w:szCs w:val="23"/>
        </w:rPr>
        <w:t>as silencing</w:t>
      </w:r>
      <w:r w:rsidR="001700FB">
        <w:rPr>
          <w:sz w:val="23"/>
          <w:szCs w:val="23"/>
        </w:rPr>
        <w:t xml:space="preserve"> its activity can lead to neuronal cell death</w:t>
      </w:r>
      <w:r w:rsidR="00CD7F47">
        <w:rPr>
          <w:sz w:val="23"/>
          <w:szCs w:val="23"/>
          <w:vertAlign w:val="superscript"/>
        </w:rPr>
        <w:t>8</w:t>
      </w:r>
      <w:r w:rsidR="001700FB">
        <w:rPr>
          <w:sz w:val="23"/>
          <w:szCs w:val="23"/>
        </w:rPr>
        <w:t xml:space="preserve">. It is formed from the cleavage of amyloid precursor protein (APP), which is an integral membrane protein present mainly in neurons. APP’s function is also not well known, with its most notable characteristic being that it is the protein cleaved to form </w:t>
      </w:r>
      <w:r w:rsidR="001700FB" w:rsidRPr="00D466C9">
        <w:rPr>
          <w:sz w:val="23"/>
          <w:szCs w:val="23"/>
        </w:rPr>
        <w:t>Aβ</w:t>
      </w:r>
      <w:r w:rsidR="001700FB">
        <w:rPr>
          <w:sz w:val="23"/>
          <w:szCs w:val="23"/>
        </w:rPr>
        <w:t>.</w:t>
      </w:r>
      <w:r w:rsidR="001700FB" w:rsidRPr="00D466C9">
        <w:rPr>
          <w:sz w:val="23"/>
          <w:szCs w:val="23"/>
        </w:rPr>
        <w:t xml:space="preserve"> </w:t>
      </w:r>
      <w:r w:rsidR="000E2AC8">
        <w:t>This build-up</w:t>
      </w:r>
      <w:r>
        <w:t xml:space="preserve"> of </w:t>
      </w:r>
      <w:r w:rsidRPr="00D466C9">
        <w:rPr>
          <w:sz w:val="23"/>
          <w:szCs w:val="23"/>
        </w:rPr>
        <w:t>Aβ</w:t>
      </w:r>
      <w:r w:rsidR="000E2AC8">
        <w:t xml:space="preserve"> results in </w:t>
      </w:r>
      <w:r w:rsidR="00077165">
        <w:t>fibrilization</w:t>
      </w:r>
      <w:r w:rsidR="000E2AC8">
        <w:t xml:space="preserve">, </w:t>
      </w:r>
      <w:r w:rsidR="0075048D">
        <w:t>with</w:t>
      </w:r>
      <w:r w:rsidR="000E2AC8">
        <w:t xml:space="preserve"> </w:t>
      </w:r>
      <w:r w:rsidR="00077165">
        <w:t>fibrils</w:t>
      </w:r>
      <w:r w:rsidR="0075048D">
        <w:t xml:space="preserve"> then</w:t>
      </w:r>
      <w:r w:rsidR="00077165">
        <w:t xml:space="preserve"> aggregating into</w:t>
      </w:r>
      <w:r w:rsidR="000E2AC8">
        <w:t xml:space="preserve"> plaques. These plaques lea</w:t>
      </w:r>
      <w:r w:rsidR="001248FF">
        <w:t xml:space="preserve">d to neuronal injury and death. While </w:t>
      </w:r>
      <w:r w:rsidR="003937B7">
        <w:t>the ACH</w:t>
      </w:r>
      <w:r w:rsidR="00077165">
        <w:t xml:space="preserve"> is</w:t>
      </w:r>
      <w:r w:rsidR="001248FF">
        <w:t xml:space="preserve"> still being tested</w:t>
      </w:r>
      <w:r w:rsidR="00077165">
        <w:t xml:space="preserve">, one of the biggest questions in the field of Alzheimer’s is </w:t>
      </w:r>
      <w:r w:rsidR="001248FF">
        <w:t xml:space="preserve">what causes the aggregation of </w:t>
      </w:r>
      <w:r w:rsidR="001248FF">
        <w:t>A</w:t>
      </w:r>
      <w:r w:rsidR="001248FF">
        <w:rPr>
          <w:rFonts w:cs="Times New Roman"/>
        </w:rPr>
        <w:t>β</w:t>
      </w:r>
      <w:r w:rsidR="00077165">
        <w:rPr>
          <w:rFonts w:cs="Times New Roman"/>
        </w:rPr>
        <w:t>.</w:t>
      </w:r>
    </w:p>
    <w:p w14:paraId="79FDDE01" w14:textId="77777777" w:rsidR="000E2AC8" w:rsidRDefault="000E2AC8"/>
    <w:p w14:paraId="1B3AC500" w14:textId="77D3AE4E" w:rsidR="007E13F5" w:rsidRDefault="000E2AC8">
      <w:r>
        <w:t xml:space="preserve">One protein that has been </w:t>
      </w:r>
      <w:r w:rsidR="001248FF">
        <w:t>implicated in</w:t>
      </w:r>
      <w:r>
        <w:t xml:space="preserve"> </w:t>
      </w:r>
      <w:r w:rsidR="001700FB">
        <w:t>A</w:t>
      </w:r>
      <w:r w:rsidR="001700FB">
        <w:rPr>
          <w:rFonts w:cs="Times New Roman"/>
        </w:rPr>
        <w:t>β</w:t>
      </w:r>
      <w:r w:rsidR="001700FB">
        <w:t xml:space="preserve"> </w:t>
      </w:r>
      <w:r w:rsidR="004468BF">
        <w:t>aggregation is Apolipoprotein E (APOE)</w:t>
      </w:r>
      <w:r w:rsidR="004468BF">
        <w:rPr>
          <w:vertAlign w:val="superscript"/>
        </w:rPr>
        <w:t>4</w:t>
      </w:r>
      <w:r>
        <w:t>.</w:t>
      </w:r>
      <w:r w:rsidR="004468BF">
        <w:t xml:space="preserve"> APOE is normally a lipid transporter in the brain, </w:t>
      </w:r>
      <w:r w:rsidR="00006FE7">
        <w:t xml:space="preserve">serving as the principal transporter </w:t>
      </w:r>
      <w:r w:rsidR="0008707A">
        <w:t>of cholesterol</w:t>
      </w:r>
      <w:r w:rsidR="00006FE7">
        <w:rPr>
          <w:vertAlign w:val="superscript"/>
        </w:rPr>
        <w:t>5</w:t>
      </w:r>
      <w:r w:rsidR="00006FE7">
        <w:t xml:space="preserve">. It exists in three different isoforms, APOE2, APOE3, and </w:t>
      </w:r>
      <w:r w:rsidR="00A43680">
        <w:t xml:space="preserve">APOE4. Of these </w:t>
      </w:r>
      <w:r w:rsidR="001700FB">
        <w:t>iso</w:t>
      </w:r>
      <w:r w:rsidR="00A43680">
        <w:t>forms, APOE4 demonstrates the strongest binding affinity</w:t>
      </w:r>
      <w:r w:rsidR="001248FF">
        <w:t xml:space="preserve"> to </w:t>
      </w:r>
      <w:r w:rsidR="001248FF">
        <w:t>A</w:t>
      </w:r>
      <w:r w:rsidR="001248FF">
        <w:rPr>
          <w:rFonts w:cs="Times New Roman"/>
        </w:rPr>
        <w:t>β</w:t>
      </w:r>
      <w:r w:rsidR="00A43680">
        <w:t xml:space="preserve"> of the three</w:t>
      </w:r>
      <w:r w:rsidR="00A43680">
        <w:rPr>
          <w:vertAlign w:val="superscript"/>
        </w:rPr>
        <w:t>6</w:t>
      </w:r>
      <w:r w:rsidR="00A43680">
        <w:t>.</w:t>
      </w:r>
      <w:r w:rsidR="001248FF">
        <w:t xml:space="preserve"> These variations of</w:t>
      </w:r>
      <w:r w:rsidR="001C2772">
        <w:t xml:space="preserve"> APOE are looked for in genetic screenings as risk factors for developing Alzheimer’s, with the presence of APOE4 </w:t>
      </w:r>
      <w:r w:rsidR="001700FB">
        <w:t>being associated with an increased</w:t>
      </w:r>
      <w:r w:rsidR="001C2772">
        <w:t xml:space="preserve"> risk of developing Alzheimer’s. The presence of APOE2 </w:t>
      </w:r>
      <w:r w:rsidR="001700FB">
        <w:t>correlates to a decreased</w:t>
      </w:r>
      <w:r w:rsidR="001C2772">
        <w:t xml:space="preserve"> risk, while APOE3 is the “neutral” variant</w:t>
      </w:r>
      <w:r w:rsidR="001C2772">
        <w:rPr>
          <w:vertAlign w:val="superscript"/>
        </w:rPr>
        <w:t>1</w:t>
      </w:r>
      <w:r w:rsidR="001C2772">
        <w:t>.</w:t>
      </w:r>
      <w:r w:rsidR="00B2176D">
        <w:t xml:space="preserve"> </w:t>
      </w:r>
      <w:r w:rsidR="0008707A">
        <w:t>Due to</w:t>
      </w:r>
      <w:r w:rsidR="00B2176D">
        <w:t xml:space="preserve"> </w:t>
      </w:r>
      <w:r w:rsidR="003A0B3D">
        <w:t>variants of APOE a</w:t>
      </w:r>
      <w:r w:rsidR="00B2176D">
        <w:t>ffect</w:t>
      </w:r>
      <w:r w:rsidR="0008707A">
        <w:t>ing</w:t>
      </w:r>
      <w:r w:rsidR="00B2176D">
        <w:t xml:space="preserve"> one’s</w:t>
      </w:r>
      <w:r w:rsidR="001248FF">
        <w:t xml:space="preserve"> </w:t>
      </w:r>
      <w:r w:rsidR="00B2176D">
        <w:t>risk</w:t>
      </w:r>
      <w:r w:rsidR="0008707A">
        <w:t xml:space="preserve"> of developing</w:t>
      </w:r>
      <w:r w:rsidR="00B2176D">
        <w:t xml:space="preserve"> </w:t>
      </w:r>
      <w:r w:rsidR="001248FF">
        <w:t>Alzheimer’</w:t>
      </w:r>
      <w:r w:rsidR="0008707A">
        <w:t xml:space="preserve">s and its mediation of </w:t>
      </w:r>
      <w:r w:rsidR="001248FF">
        <w:t>A</w:t>
      </w:r>
      <w:r w:rsidR="001248FF">
        <w:rPr>
          <w:rFonts w:cs="Times New Roman"/>
        </w:rPr>
        <w:t>β</w:t>
      </w:r>
      <w:r w:rsidR="001248FF">
        <w:rPr>
          <w:rFonts w:cs="Times New Roman"/>
        </w:rPr>
        <w:t xml:space="preserve"> aggregation, it is thought that APOE may play a key role in the aggregation of </w:t>
      </w:r>
      <w:r w:rsidR="001248FF">
        <w:t>A</w:t>
      </w:r>
      <w:r w:rsidR="001248FF">
        <w:rPr>
          <w:rFonts w:cs="Times New Roman"/>
        </w:rPr>
        <w:t>β</w:t>
      </w:r>
      <w:r w:rsidR="001248FF">
        <w:rPr>
          <w:rFonts w:cs="Times New Roman"/>
        </w:rPr>
        <w:t xml:space="preserve"> </w:t>
      </w:r>
      <w:r w:rsidR="0008707A">
        <w:rPr>
          <w:rFonts w:cs="Times New Roman"/>
        </w:rPr>
        <w:t>which leads to</w:t>
      </w:r>
      <w:r w:rsidR="007D42B1">
        <w:rPr>
          <w:rFonts w:cs="Times New Roman"/>
        </w:rPr>
        <w:t xml:space="preserve"> development of</w:t>
      </w:r>
      <w:r w:rsidR="001248FF">
        <w:rPr>
          <w:rFonts w:cs="Times New Roman"/>
        </w:rPr>
        <w:t xml:space="preserve"> Alzheimer’s.</w:t>
      </w:r>
      <w:r w:rsidR="001C2772">
        <w:t xml:space="preserve"> </w:t>
      </w:r>
      <w:r w:rsidR="00A43680">
        <w:t xml:space="preserve"> </w:t>
      </w:r>
      <w:r w:rsidR="007E13F5">
        <w:t xml:space="preserve">A proposed mechanism by which APOE facilitates </w:t>
      </w:r>
      <w:r w:rsidR="001700FB">
        <w:t>A</w:t>
      </w:r>
      <w:r w:rsidR="001700FB">
        <w:rPr>
          <w:rFonts w:cs="Times New Roman"/>
        </w:rPr>
        <w:t>β</w:t>
      </w:r>
      <w:r w:rsidR="001700FB">
        <w:t xml:space="preserve"> </w:t>
      </w:r>
      <w:r w:rsidR="007E13F5">
        <w:t xml:space="preserve">aggregation is shown in Figure 1. </w:t>
      </w:r>
    </w:p>
    <w:p w14:paraId="38A4558F" w14:textId="77777777" w:rsidR="00EB3911" w:rsidRDefault="007E13F5" w:rsidP="0084236B">
      <w:pPr>
        <w:keepNext/>
        <w:jc w:val="center"/>
      </w:pPr>
      <w:r>
        <w:rPr>
          <w:noProof/>
        </w:rPr>
        <w:lastRenderedPageBreak/>
        <w:drawing>
          <wp:inline distT="0" distB="0" distL="0" distR="0" wp14:anchorId="282168ED" wp14:editId="24C32018">
            <wp:extent cx="3895725" cy="108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44708" cy="1100809"/>
                    </a:xfrm>
                    <a:prstGeom prst="rect">
                      <a:avLst/>
                    </a:prstGeom>
                  </pic:spPr>
                </pic:pic>
              </a:graphicData>
            </a:graphic>
          </wp:inline>
        </w:drawing>
      </w:r>
    </w:p>
    <w:p w14:paraId="13733082" w14:textId="77777777" w:rsidR="007E13F5" w:rsidRPr="00A10E7C" w:rsidRDefault="00EB3911" w:rsidP="0084236B">
      <w:pPr>
        <w:pStyle w:val="Caption"/>
        <w:jc w:val="center"/>
        <w:rPr>
          <w:sz w:val="20"/>
        </w:rPr>
      </w:pPr>
      <w:r w:rsidRPr="00A10E7C">
        <w:rPr>
          <w:sz w:val="20"/>
        </w:rPr>
        <w:t xml:space="preserve">Figure </w:t>
      </w:r>
      <w:r w:rsidRPr="00A10E7C">
        <w:rPr>
          <w:sz w:val="20"/>
        </w:rPr>
        <w:fldChar w:fldCharType="begin"/>
      </w:r>
      <w:r w:rsidRPr="00A10E7C">
        <w:rPr>
          <w:sz w:val="20"/>
        </w:rPr>
        <w:instrText xml:space="preserve"> SEQ Figure \* ARABIC </w:instrText>
      </w:r>
      <w:r w:rsidRPr="00A10E7C">
        <w:rPr>
          <w:sz w:val="20"/>
        </w:rPr>
        <w:fldChar w:fldCharType="separate"/>
      </w:r>
      <w:r w:rsidR="00FA3DD7">
        <w:rPr>
          <w:noProof/>
          <w:sz w:val="20"/>
        </w:rPr>
        <w:t>1</w:t>
      </w:r>
      <w:r w:rsidRPr="00A10E7C">
        <w:rPr>
          <w:sz w:val="20"/>
        </w:rPr>
        <w:fldChar w:fldCharType="end"/>
      </w:r>
      <w:r w:rsidRPr="00A10E7C">
        <w:rPr>
          <w:sz w:val="20"/>
        </w:rPr>
        <w:t>. A proposed mechanism by which APOE facilitates Aβ aggregation. APOE allows Aβ to aggregate and form fibrils. It can then transport the fibrils, furthering aggregation. From Garai et. al (2014).</w:t>
      </w:r>
    </w:p>
    <w:p w14:paraId="4518B1BC" w14:textId="77777777" w:rsidR="00D019BA" w:rsidRDefault="00030B31">
      <w:pPr>
        <w:rPr>
          <w:rFonts w:cs="Times New Roman"/>
          <w:color w:val="303030"/>
          <w:szCs w:val="24"/>
          <w:shd w:val="clear" w:color="auto" w:fill="FFFFFF"/>
        </w:rPr>
      </w:pPr>
      <w:r>
        <w:rPr>
          <w:rStyle w:val="st"/>
          <w:noProof/>
          <w:sz w:val="23"/>
          <w:szCs w:val="23"/>
        </w:rPr>
        <w:drawing>
          <wp:anchor distT="0" distB="0" distL="114300" distR="114300" simplePos="0" relativeHeight="251659264" behindDoc="0" locked="0" layoutInCell="1" allowOverlap="1" wp14:anchorId="6CB303F2" wp14:editId="2AAB42D7">
            <wp:simplePos x="0" y="0"/>
            <wp:positionH relativeFrom="margin">
              <wp:posOffset>-156210</wp:posOffset>
            </wp:positionH>
            <wp:positionV relativeFrom="paragraph">
              <wp:posOffset>3810</wp:posOffset>
            </wp:positionV>
            <wp:extent cx="2230120" cy="1767840"/>
            <wp:effectExtent l="0" t="0" r="0" b="381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75036" w14:textId="1BDA0602" w:rsidR="00030B31" w:rsidRDefault="00DB6E7F" w:rsidP="00D019BA">
      <w:pPr>
        <w:rPr>
          <w:rFonts w:cs="Times New Roman"/>
        </w:rPr>
      </w:pPr>
      <w:r>
        <w:rPr>
          <w:noProof/>
        </w:rPr>
        <mc:AlternateContent>
          <mc:Choice Requires="wps">
            <w:drawing>
              <wp:anchor distT="0" distB="0" distL="114300" distR="114300" simplePos="0" relativeHeight="251661312" behindDoc="0" locked="0" layoutInCell="1" allowOverlap="1" wp14:anchorId="0730098D" wp14:editId="58EB18B9">
                <wp:simplePos x="0" y="0"/>
                <wp:positionH relativeFrom="margin">
                  <wp:align>left</wp:align>
                </wp:positionH>
                <wp:positionV relativeFrom="paragraph">
                  <wp:posOffset>1574800</wp:posOffset>
                </wp:positionV>
                <wp:extent cx="2053590" cy="2025650"/>
                <wp:effectExtent l="0" t="0" r="3810" b="0"/>
                <wp:wrapSquare wrapText="bothSides"/>
                <wp:docPr id="3" name="Text Box 3"/>
                <wp:cNvGraphicFramePr/>
                <a:graphic xmlns:a="http://schemas.openxmlformats.org/drawingml/2006/main">
                  <a:graphicData uri="http://schemas.microsoft.com/office/word/2010/wordprocessingShape">
                    <wps:wsp>
                      <wps:cNvSpPr txBox="1"/>
                      <wps:spPr>
                        <a:xfrm>
                          <a:off x="0" y="0"/>
                          <a:ext cx="2053590" cy="2025650"/>
                        </a:xfrm>
                        <a:prstGeom prst="rect">
                          <a:avLst/>
                        </a:prstGeom>
                        <a:solidFill>
                          <a:prstClr val="white"/>
                        </a:solidFill>
                        <a:ln>
                          <a:noFill/>
                        </a:ln>
                        <a:effectLst/>
                      </wps:spPr>
                      <wps:txbx>
                        <w:txbxContent>
                          <w:p w14:paraId="05888B1E" w14:textId="77777777" w:rsidR="000857E8" w:rsidRPr="00306CA8" w:rsidRDefault="000857E8" w:rsidP="001565C2">
                            <w:pPr>
                              <w:pStyle w:val="Caption"/>
                              <w:jc w:val="center"/>
                              <w:rPr>
                                <w:noProof/>
                                <w:sz w:val="23"/>
                                <w:szCs w:val="23"/>
                              </w:rPr>
                            </w:pPr>
                            <w:r w:rsidRPr="00306CA8">
                              <w:rPr>
                                <w:sz w:val="23"/>
                                <w:szCs w:val="23"/>
                              </w:rPr>
                              <w:t xml:space="preserve">Figure 2. </w:t>
                            </w:r>
                            <w:r w:rsidR="00EB3911" w:rsidRPr="00306CA8">
                              <w:rPr>
                                <w:sz w:val="23"/>
                                <w:szCs w:val="23"/>
                              </w:rPr>
                              <w:t>An aggregation assay which used Thioflavin T as a fluorescent tag to measure levels of amyloid beta aggregation. Fluorescence was highest when A</w:t>
                            </w:r>
                            <w:r w:rsidR="00EB3911" w:rsidRPr="00306CA8">
                              <w:rPr>
                                <w:rFonts w:cs="Times New Roman"/>
                                <w:sz w:val="23"/>
                                <w:szCs w:val="23"/>
                              </w:rPr>
                              <w:t xml:space="preserve">β1-40 and APOE4 (E4) were combined, but that fluorescence was cut almost in half if APOE4 </w:t>
                            </w:r>
                            <w:r w:rsidR="00EB3911" w:rsidRPr="00306CA8">
                              <w:rPr>
                                <w:sz w:val="23"/>
                                <w:szCs w:val="23"/>
                              </w:rPr>
                              <w:t>A</w:t>
                            </w:r>
                            <w:r w:rsidR="00EB3911" w:rsidRPr="00306CA8">
                              <w:rPr>
                                <w:rFonts w:cs="Times New Roman"/>
                                <w:sz w:val="23"/>
                                <w:szCs w:val="23"/>
                              </w:rPr>
                              <w:t xml:space="preserve">β12-28P (a variant with a V </w:t>
                            </w:r>
                            <w:r w:rsidR="00EB3911" w:rsidRPr="00306CA8">
                              <w:rPr>
                                <w:rFonts w:cs="Times New Roman"/>
                                <w:sz w:val="23"/>
                                <w:szCs w:val="23"/>
                              </w:rPr>
                              <w:sym w:font="Wingdings" w:char="F0E0"/>
                            </w:r>
                            <w:r w:rsidR="00EB3911" w:rsidRPr="00306CA8">
                              <w:rPr>
                                <w:rFonts w:cs="Times New Roman"/>
                                <w:sz w:val="23"/>
                                <w:szCs w:val="23"/>
                              </w:rPr>
                              <w:t xml:space="preserve"> P mutation at residue 18) was introduced. From Sadowski et. al (2006).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0098D" id="_x0000_t202" coordsize="21600,21600" o:spt="202" path="m,l,21600r21600,l21600,xe">
                <v:stroke joinstyle="miter"/>
                <v:path gradientshapeok="t" o:connecttype="rect"/>
              </v:shapetype>
              <v:shape id="Text Box 3" o:spid="_x0000_s1026" type="#_x0000_t202" style="position:absolute;margin-left:0;margin-top:124pt;width:161.7pt;height:15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" stroked="f">
                <v:textbox inset="0,0,0,0">
                  <w:txbxContent>
                    <w:p w14:paraId="05888B1E" w14:textId="77777777" w:rsidR="000857E8" w:rsidRPr="00306CA8" w:rsidRDefault="000857E8" w:rsidP="001565C2">
                      <w:pPr>
                        <w:pStyle w:val="Caption"/>
                        <w:jc w:val="center"/>
                        <w:rPr>
                          <w:noProof/>
                          <w:sz w:val="23"/>
                          <w:szCs w:val="23"/>
                        </w:rPr>
                      </w:pPr>
                      <w:r w:rsidRPr="00306CA8">
                        <w:rPr>
                          <w:sz w:val="23"/>
                          <w:szCs w:val="23"/>
                        </w:rPr>
                        <w:t xml:space="preserve">Figure 2. </w:t>
                      </w:r>
                      <w:r w:rsidR="00EB3911" w:rsidRPr="00306CA8">
                        <w:rPr>
                          <w:sz w:val="23"/>
                          <w:szCs w:val="23"/>
                        </w:rPr>
                        <w:t>An aggregation assay which used Thioflavin T as a fluorescent tag to measure levels of amyloid beta aggregation. Fluorescence was highest when A</w:t>
                      </w:r>
                      <w:r w:rsidR="00EB3911" w:rsidRPr="00306CA8">
                        <w:rPr>
                          <w:rFonts w:cs="Times New Roman"/>
                          <w:sz w:val="23"/>
                          <w:szCs w:val="23"/>
                        </w:rPr>
                        <w:t xml:space="preserve">β1-40 and APOE4 (E4) were combined, but that fluorescence was cut almost in half if APOE4 </w:t>
                      </w:r>
                      <w:r w:rsidR="00EB3911" w:rsidRPr="00306CA8">
                        <w:rPr>
                          <w:sz w:val="23"/>
                          <w:szCs w:val="23"/>
                        </w:rPr>
                        <w:t>A</w:t>
                      </w:r>
                      <w:r w:rsidR="00EB3911" w:rsidRPr="00306CA8">
                        <w:rPr>
                          <w:rFonts w:cs="Times New Roman"/>
                          <w:sz w:val="23"/>
                          <w:szCs w:val="23"/>
                        </w:rPr>
                        <w:t xml:space="preserve">β12-28P (a variant with a V </w:t>
                      </w:r>
                      <w:r w:rsidR="00EB3911" w:rsidRPr="00306CA8">
                        <w:rPr>
                          <w:rFonts w:cs="Times New Roman"/>
                          <w:sz w:val="23"/>
                          <w:szCs w:val="23"/>
                        </w:rPr>
                        <w:sym w:font="Wingdings" w:char="F0E0"/>
                      </w:r>
                      <w:r w:rsidR="00EB3911" w:rsidRPr="00306CA8">
                        <w:rPr>
                          <w:rFonts w:cs="Times New Roman"/>
                          <w:sz w:val="23"/>
                          <w:szCs w:val="23"/>
                        </w:rPr>
                        <w:t xml:space="preserve"> P mutation at residue 18) was introduced. From Sadowski et. al (2006).</w:t>
                      </w:r>
                    </w:p>
                  </w:txbxContent>
                </v:textbox>
                <w10:wrap type="square" anchorx="margin"/>
              </v:shape>
            </w:pict>
          </mc:Fallback>
        </mc:AlternateContent>
      </w:r>
      <w:r w:rsidR="00D019BA">
        <w:t xml:space="preserve">Because of APOEs ability to facilitate </w:t>
      </w:r>
      <w:r w:rsidR="001700FB">
        <w:t>A</w:t>
      </w:r>
      <w:r w:rsidR="001700FB">
        <w:rPr>
          <w:rFonts w:cs="Times New Roman"/>
        </w:rPr>
        <w:t>β</w:t>
      </w:r>
      <w:r w:rsidR="001700FB">
        <w:t xml:space="preserve"> </w:t>
      </w:r>
      <w:r w:rsidR="00D019BA">
        <w:t>aggregation, inhibiting the APOE-</w:t>
      </w:r>
      <w:r w:rsidR="001700FB">
        <w:t>A</w:t>
      </w:r>
      <w:r w:rsidR="001700FB">
        <w:rPr>
          <w:rFonts w:cs="Times New Roman"/>
        </w:rPr>
        <w:t>β</w:t>
      </w:r>
      <w:r w:rsidR="001700FB">
        <w:t xml:space="preserve"> </w:t>
      </w:r>
      <w:r w:rsidR="00D019BA">
        <w:t>binding complex presents a possible path for disrupting aggregation. When competitive inhibitors are present</w:t>
      </w:r>
      <w:r w:rsidR="005B7476">
        <w:t xml:space="preserve"> to</w:t>
      </w:r>
      <w:r w:rsidR="0033612A">
        <w:t xml:space="preserve"> interrupt binding</w:t>
      </w:r>
      <w:r w:rsidR="00823F81">
        <w:t xml:space="preserve"> of APOE and </w:t>
      </w:r>
      <w:r w:rsidR="00823F81" w:rsidRPr="00D466C9">
        <w:rPr>
          <w:sz w:val="23"/>
          <w:szCs w:val="23"/>
        </w:rPr>
        <w:t>Aβ</w:t>
      </w:r>
      <w:r w:rsidR="00D019BA">
        <w:t xml:space="preserve">, aggregation levels are reduced. </w:t>
      </w:r>
      <w:r w:rsidR="001700FB">
        <w:t>One such</w:t>
      </w:r>
      <w:r w:rsidR="00823F81">
        <w:t xml:space="preserve"> inhibitor </w:t>
      </w:r>
      <w:r w:rsidR="001700FB">
        <w:t>is A</w:t>
      </w:r>
      <w:r w:rsidR="001700FB">
        <w:rPr>
          <w:rFonts w:cs="Times New Roman"/>
        </w:rPr>
        <w:t>β12-28</w:t>
      </w:r>
      <w:r w:rsidR="004005F5">
        <w:rPr>
          <w:rFonts w:cs="Times New Roman"/>
        </w:rPr>
        <w:t>,</w:t>
      </w:r>
      <w:r w:rsidR="001700FB">
        <w:rPr>
          <w:rFonts w:cs="Times New Roman"/>
        </w:rPr>
        <w:t xml:space="preserve"> a peptide consisting of </w:t>
      </w:r>
      <w:r w:rsidR="001700FB">
        <w:t>A</w:t>
      </w:r>
      <w:r w:rsidR="001700FB">
        <w:rPr>
          <w:rFonts w:cs="Times New Roman"/>
        </w:rPr>
        <w:t>β residues 12-28</w:t>
      </w:r>
      <w:r w:rsidR="00030B31">
        <w:rPr>
          <w:rFonts w:cs="Times New Roman"/>
          <w:vertAlign w:val="superscript"/>
        </w:rPr>
        <w:t>7</w:t>
      </w:r>
      <w:r w:rsidR="001700FB">
        <w:rPr>
          <w:rFonts w:cs="Times New Roman"/>
        </w:rPr>
        <w:t xml:space="preserve">. </w:t>
      </w:r>
      <w:r w:rsidR="004005F5">
        <w:rPr>
          <w:rFonts w:cs="Times New Roman"/>
        </w:rPr>
        <w:t xml:space="preserve">These residues correspond to the portion of </w:t>
      </w:r>
      <w:r w:rsidR="004005F5">
        <w:t>A</w:t>
      </w:r>
      <w:r w:rsidR="004005F5">
        <w:rPr>
          <w:rFonts w:cs="Times New Roman"/>
        </w:rPr>
        <w:t>β that binds APOE</w:t>
      </w:r>
      <w:r w:rsidR="00CB1CCD">
        <w:rPr>
          <w:rFonts w:cs="Times New Roman"/>
          <w:vertAlign w:val="superscript"/>
        </w:rPr>
        <w:t>10</w:t>
      </w:r>
      <w:r w:rsidR="00CB1CCD">
        <w:rPr>
          <w:rFonts w:cs="Times New Roman"/>
        </w:rPr>
        <w:t xml:space="preserve">. </w:t>
      </w:r>
      <w:r w:rsidR="00030B31">
        <w:rPr>
          <w:rFonts w:cs="Times New Roman"/>
        </w:rPr>
        <w:t xml:space="preserve">In Sadowski et. al (2006), the authors demonstrated the effect of an inhibitor based on </w:t>
      </w:r>
      <w:r w:rsidR="00030B31">
        <w:t>A</w:t>
      </w:r>
      <w:r w:rsidR="00030B31">
        <w:rPr>
          <w:rFonts w:cs="Times New Roman"/>
        </w:rPr>
        <w:t xml:space="preserve">β12-28. They used </w:t>
      </w:r>
      <w:r w:rsidR="00030B31">
        <w:t>A</w:t>
      </w:r>
      <w:r w:rsidR="00030B31">
        <w:rPr>
          <w:rFonts w:cs="Times New Roman"/>
        </w:rPr>
        <w:t xml:space="preserve">β12-28P, which replaces a valine at residue 18 with a proline. This change made </w:t>
      </w:r>
      <w:r w:rsidR="00030B31">
        <w:t>the peptide</w:t>
      </w:r>
      <w:r w:rsidR="00030B31">
        <w:rPr>
          <w:rFonts w:cs="Times New Roman"/>
        </w:rPr>
        <w:t xml:space="preserve"> nonfibrillogenic by disrupting the hydrophobic region. The presence of </w:t>
      </w:r>
      <w:r w:rsidR="00030B31">
        <w:t>A</w:t>
      </w:r>
      <w:r w:rsidR="00030B31">
        <w:rPr>
          <w:rFonts w:cs="Times New Roman"/>
        </w:rPr>
        <w:t xml:space="preserve">β12-28P almost completely abolished the effect that APOE4’s presence had on aggregation. </w:t>
      </w:r>
      <w:r w:rsidR="000B4A0A">
        <w:rPr>
          <w:rFonts w:cs="Times New Roman"/>
        </w:rPr>
        <w:t xml:space="preserve">Another study </w:t>
      </w:r>
      <w:r w:rsidR="000B4A0A">
        <w:t>done by Hao et. al (2010) tested the inhibiting ability of</w:t>
      </w:r>
      <w:r w:rsidR="000B4A0A">
        <w:rPr>
          <w:rFonts w:cs="Times New Roman"/>
        </w:rPr>
        <w:t xml:space="preserve"> </w:t>
      </w:r>
      <w:r w:rsidR="000B4A0A">
        <w:t>A</w:t>
      </w:r>
      <w:r w:rsidR="000B4A0A">
        <w:rPr>
          <w:rFonts w:cs="Times New Roman"/>
        </w:rPr>
        <w:t>β20-29. Their experiment</w:t>
      </w:r>
      <w:r w:rsidR="00306CA8">
        <w:rPr>
          <w:rFonts w:cs="Times New Roman"/>
        </w:rPr>
        <w:t xml:space="preserve"> </w:t>
      </w:r>
      <w:r w:rsidR="000B4A0A">
        <w:rPr>
          <w:rFonts w:cs="Times New Roman"/>
        </w:rPr>
        <w:t xml:space="preserve">resulted in </w:t>
      </w:r>
      <w:r w:rsidR="00306CA8">
        <w:rPr>
          <w:rFonts w:cs="Times New Roman"/>
        </w:rPr>
        <w:t xml:space="preserve">the effect of APOE4 and APOE3 on aggregation being almost abolished in the presence of </w:t>
      </w:r>
      <w:r w:rsidR="00306CA8">
        <w:t>A</w:t>
      </w:r>
      <w:r w:rsidR="00306CA8">
        <w:rPr>
          <w:rFonts w:cs="Times New Roman"/>
        </w:rPr>
        <w:t>β</w:t>
      </w:r>
      <w:r w:rsidR="00306CA8">
        <w:rPr>
          <w:rFonts w:cs="Times New Roman"/>
        </w:rPr>
        <w:t>20-29</w:t>
      </w:r>
      <w:r w:rsidR="000B4A0A">
        <w:rPr>
          <w:rFonts w:cs="Times New Roman"/>
          <w:vertAlign w:val="superscript"/>
        </w:rPr>
        <w:t>14</w:t>
      </w:r>
      <w:r w:rsidR="000B4A0A">
        <w:rPr>
          <w:rFonts w:cs="Times New Roman"/>
        </w:rPr>
        <w:t xml:space="preserve">. This result suggests that though residues 12-28 are the binding site, </w:t>
      </w:r>
      <w:r w:rsidR="008B10DA">
        <w:rPr>
          <w:rFonts w:cs="Times New Roman"/>
        </w:rPr>
        <w:t xml:space="preserve">smaller </w:t>
      </w:r>
      <w:r w:rsidR="00D96DD8">
        <w:rPr>
          <w:rFonts w:cs="Times New Roman"/>
        </w:rPr>
        <w:t xml:space="preserve">portions of </w:t>
      </w:r>
      <w:r w:rsidR="003B46B4">
        <w:rPr>
          <w:rFonts w:cs="Times New Roman"/>
        </w:rPr>
        <w:t>the binding site</w:t>
      </w:r>
      <w:r w:rsidR="00D96DD8">
        <w:rPr>
          <w:rFonts w:cs="Times New Roman"/>
        </w:rPr>
        <w:t xml:space="preserve"> may be capable of</w:t>
      </w:r>
      <w:r w:rsidR="000B4A0A">
        <w:rPr>
          <w:rFonts w:cs="Times New Roman"/>
        </w:rPr>
        <w:t xml:space="preserve"> binding </w:t>
      </w:r>
      <w:r w:rsidR="008B10DA">
        <w:t>APOE</w:t>
      </w:r>
      <w:r w:rsidR="007C4CF6">
        <w:rPr>
          <w:rFonts w:cs="Times New Roman"/>
        </w:rPr>
        <w:t xml:space="preserve"> competitively. </w:t>
      </w:r>
      <w:r w:rsidR="00823F81">
        <w:rPr>
          <w:rFonts w:cs="Times New Roman"/>
        </w:rPr>
        <w:t xml:space="preserve"> </w:t>
      </w:r>
    </w:p>
    <w:p w14:paraId="197D1C6F" w14:textId="77777777" w:rsidR="00030B31" w:rsidRDefault="00030B31" w:rsidP="00D019BA">
      <w:pPr>
        <w:rPr>
          <w:rFonts w:cs="Times New Roman"/>
        </w:rPr>
      </w:pPr>
    </w:p>
    <w:p w14:paraId="6FB8889E" w14:textId="094CA136" w:rsidR="00D019BA" w:rsidRPr="00CB1CCD" w:rsidRDefault="003B46B4" w:rsidP="00D019BA">
      <w:r>
        <w:rPr>
          <w:rFonts w:cs="Times New Roman"/>
        </w:rPr>
        <w:t xml:space="preserve">While the ability of peptides to inhibit the binding of APOE and </w:t>
      </w:r>
      <w:r w:rsidR="0001330A">
        <w:t>A</w:t>
      </w:r>
      <w:r w:rsidR="0001330A">
        <w:rPr>
          <w:rFonts w:cs="Times New Roman"/>
        </w:rPr>
        <w:t xml:space="preserve">β is effective </w:t>
      </w:r>
      <w:r w:rsidR="0001330A">
        <w:rPr>
          <w:rFonts w:cs="Times New Roman"/>
          <w:i/>
        </w:rPr>
        <w:t>in vitro</w:t>
      </w:r>
      <w:r w:rsidR="00CB1CCD">
        <w:rPr>
          <w:rFonts w:cs="Times New Roman"/>
        </w:rPr>
        <w:t>, peptide inhibitors usually have stability problems</w:t>
      </w:r>
      <w:r w:rsidR="0001330A">
        <w:rPr>
          <w:rFonts w:cs="Times New Roman"/>
        </w:rPr>
        <w:t xml:space="preserve"> when they are used as drugs</w:t>
      </w:r>
      <w:r w:rsidR="00CB1CCD">
        <w:rPr>
          <w:rFonts w:cs="Times New Roman"/>
          <w:vertAlign w:val="superscript"/>
        </w:rPr>
        <w:t>11</w:t>
      </w:r>
      <w:r w:rsidR="00CB1CCD">
        <w:rPr>
          <w:rFonts w:cs="Times New Roman"/>
        </w:rPr>
        <w:t>.</w:t>
      </w:r>
      <w:r w:rsidR="00651755">
        <w:rPr>
          <w:rFonts w:cs="Times New Roman"/>
        </w:rPr>
        <w:t xml:space="preserve"> These problems interfere with efficient delivery in the body, including passing through the blood brain barrier or being properly digested.</w:t>
      </w:r>
      <w:r w:rsidR="00150396">
        <w:rPr>
          <w:rFonts w:cs="Times New Roman"/>
        </w:rPr>
        <w:t xml:space="preserve"> Peptides also have stability issues once they enter the biological system.</w:t>
      </w:r>
      <w:r w:rsidR="00CB1CCD">
        <w:rPr>
          <w:rFonts w:cs="Times New Roman"/>
        </w:rPr>
        <w:t xml:space="preserve"> One way around these problems is structure-based drug d</w:t>
      </w:r>
      <w:r w:rsidR="00940A5A">
        <w:rPr>
          <w:rFonts w:cs="Times New Roman"/>
        </w:rPr>
        <w:t xml:space="preserve">esign. This process takes the known structure of a peptide and uses it to design a </w:t>
      </w:r>
      <w:r w:rsidR="008A334E">
        <w:rPr>
          <w:rFonts w:cs="Times New Roman"/>
        </w:rPr>
        <w:t>non-peptide chemical</w:t>
      </w:r>
      <w:r w:rsidR="007C1C7D">
        <w:rPr>
          <w:rFonts w:cs="Times New Roman"/>
        </w:rPr>
        <w:t xml:space="preserve"> similar </w:t>
      </w:r>
      <w:r w:rsidR="008A334E">
        <w:rPr>
          <w:rFonts w:cs="Times New Roman"/>
        </w:rPr>
        <w:t>to the peptide (ex.: size, steric interaction with binding site)</w:t>
      </w:r>
      <w:r w:rsidR="00940A5A">
        <w:rPr>
          <w:rFonts w:cs="Times New Roman"/>
        </w:rPr>
        <w:t>. Peptides can be small or large, but smaller peptides about 6-8</w:t>
      </w:r>
      <w:r w:rsidR="0001330A">
        <w:rPr>
          <w:rFonts w:cs="Times New Roman"/>
        </w:rPr>
        <w:t xml:space="preserve"> residues</w:t>
      </w:r>
      <w:r w:rsidR="00940A5A">
        <w:rPr>
          <w:rFonts w:cs="Times New Roman"/>
        </w:rPr>
        <w:t xml:space="preserve"> in length are easier to model after.</w:t>
      </w:r>
    </w:p>
    <w:p w14:paraId="155DFB61" w14:textId="77777777" w:rsidR="00D019BA" w:rsidRDefault="00D019BA"/>
    <w:p w14:paraId="518173F5" w14:textId="048C1E82" w:rsidR="00521DD9" w:rsidRDefault="00521DD9">
      <w:r>
        <w:t>If a small A</w:t>
      </w:r>
      <w:r>
        <w:rPr>
          <w:rFonts w:cs="Times New Roman"/>
        </w:rPr>
        <w:t>β</w:t>
      </w:r>
      <w:r>
        <w:t xml:space="preserve"> peptide chain shows strong inhibiting capabilities, then it may be a good candidate for structure-based drug design.</w:t>
      </w:r>
      <w:r w:rsidR="00985DB0">
        <w:t xml:space="preserve"> </w:t>
      </w:r>
      <w:r w:rsidR="00D81CE6">
        <w:t xml:space="preserve">Given </w:t>
      </w:r>
      <w:r w:rsidR="00985DB0">
        <w:t>that the binding site of amyloid beta is residues 12-28, it seems rational to focus on thes</w:t>
      </w:r>
      <w:r w:rsidR="00444E63">
        <w:t>e residues for finding a short</w:t>
      </w:r>
      <w:r w:rsidR="00985DB0">
        <w:t xml:space="preserve"> peptide inhibitor.</w:t>
      </w:r>
      <w:r w:rsidR="00E8545D">
        <w:t xml:space="preserve"> </w:t>
      </w:r>
      <w:r>
        <w:t xml:space="preserve">The purpose of the </w:t>
      </w:r>
      <w:r>
        <w:lastRenderedPageBreak/>
        <w:t>following proposed experiment</w:t>
      </w:r>
      <w:r w:rsidR="00985DB0">
        <w:t xml:space="preserve"> is</w:t>
      </w:r>
      <w:r>
        <w:t xml:space="preserve"> to </w:t>
      </w:r>
      <w:r w:rsidR="00E3347E">
        <w:t xml:space="preserve">determine if </w:t>
      </w:r>
      <w:r w:rsidR="001879AB">
        <w:t>short, 6-8 residue sections</w:t>
      </w:r>
      <w:r w:rsidR="00E3347E">
        <w:t xml:space="preserve"> within </w:t>
      </w:r>
      <w:r>
        <w:t>A</w:t>
      </w:r>
      <w:r>
        <w:rPr>
          <w:rFonts w:cs="Times New Roman"/>
        </w:rPr>
        <w:t>β</w:t>
      </w:r>
      <w:r w:rsidR="00E3347E">
        <w:rPr>
          <w:rFonts w:cs="Times New Roman"/>
        </w:rPr>
        <w:t>12-28</w:t>
      </w:r>
      <w:r>
        <w:t xml:space="preserve"> are capable of inhibiting the APOE-A</w:t>
      </w:r>
      <w:r>
        <w:rPr>
          <w:rFonts w:cs="Times New Roman"/>
        </w:rPr>
        <w:t>β</w:t>
      </w:r>
      <w:r>
        <w:t xml:space="preserve"> binding complex. </w:t>
      </w:r>
    </w:p>
    <w:p w14:paraId="6E4A4EED" w14:textId="77777777" w:rsidR="00CE54B5" w:rsidRDefault="00CE54B5"/>
    <w:p w14:paraId="33C2BA88" w14:textId="77777777" w:rsidR="00CE54B5" w:rsidRDefault="00CE54B5">
      <w:r>
        <w:rPr>
          <w:b/>
        </w:rPr>
        <w:t xml:space="preserve">II. Experiment </w:t>
      </w:r>
    </w:p>
    <w:p w14:paraId="507AC48E" w14:textId="77777777" w:rsidR="00CE54B5" w:rsidRDefault="00CE54B5"/>
    <w:p w14:paraId="10D34A90" w14:textId="77777777" w:rsidR="0084236B" w:rsidRDefault="00FB7EAE" w:rsidP="0084236B">
      <w:pPr>
        <w:rPr>
          <w:rFonts w:cs="Times New Roman"/>
        </w:rPr>
      </w:pPr>
      <w:r>
        <w:rPr>
          <w:noProof/>
        </w:rPr>
        <mc:AlternateContent>
          <mc:Choice Requires="wps">
            <w:drawing>
              <wp:anchor distT="0" distB="0" distL="114300" distR="114300" simplePos="0" relativeHeight="251669504" behindDoc="0" locked="0" layoutInCell="1" allowOverlap="1" wp14:anchorId="5A77E4D2" wp14:editId="44923052">
                <wp:simplePos x="0" y="0"/>
                <wp:positionH relativeFrom="margin">
                  <wp:posOffset>19050</wp:posOffset>
                </wp:positionH>
                <wp:positionV relativeFrom="paragraph">
                  <wp:posOffset>2090420</wp:posOffset>
                </wp:positionV>
                <wp:extent cx="5934075" cy="142875"/>
                <wp:effectExtent l="0" t="0" r="9525" b="9525"/>
                <wp:wrapSquare wrapText="bothSides"/>
                <wp:docPr id="8" name="Text Box 8"/>
                <wp:cNvGraphicFramePr/>
                <a:graphic xmlns:a="http://schemas.openxmlformats.org/drawingml/2006/main">
                  <a:graphicData uri="http://schemas.microsoft.com/office/word/2010/wordprocessingShape">
                    <wps:wsp>
                      <wps:cNvSpPr txBox="1"/>
                      <wps:spPr>
                        <a:xfrm>
                          <a:off x="0" y="0"/>
                          <a:ext cx="5934075" cy="142875"/>
                        </a:xfrm>
                        <a:prstGeom prst="rect">
                          <a:avLst/>
                        </a:prstGeom>
                        <a:solidFill>
                          <a:prstClr val="white"/>
                        </a:solidFill>
                        <a:ln>
                          <a:noFill/>
                        </a:ln>
                        <a:effectLst/>
                      </wps:spPr>
                      <wps:txbx>
                        <w:txbxContent>
                          <w:p w14:paraId="297DD8EB" w14:textId="77777777" w:rsidR="00616001" w:rsidRPr="00CA68D5" w:rsidRDefault="00616001" w:rsidP="00616001">
                            <w:pPr>
                              <w:pStyle w:val="Caption"/>
                              <w:rPr>
                                <w:noProof/>
                                <w:sz w:val="23"/>
                                <w:szCs w:val="23"/>
                              </w:rPr>
                            </w:pPr>
                            <w:r>
                              <w:t>Table 1</w:t>
                            </w:r>
                            <w:r>
                              <w:t xml:space="preserve">: </w:t>
                            </w:r>
                            <w:r>
                              <w:t xml:space="preserve">The </w:t>
                            </w:r>
                            <w:r>
                              <w:t>A</w:t>
                            </w:r>
                            <w:r>
                              <w:rPr>
                                <w:rFonts w:cs="Times New Roman"/>
                              </w:rPr>
                              <w:t>β</w:t>
                            </w:r>
                            <w:r>
                              <w:rPr>
                                <w:rFonts w:cs="Times New Roman"/>
                              </w:rPr>
                              <w:t>12-28 derived peptides being tested in the aggregation assays.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E4D2" id="Text Box 8" o:spid="_x0000_s1027" type="#_x0000_t202" style="position:absolute;margin-left:1.5pt;margin-top:164.6pt;width:467.25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" stroked="f">
                <v:textbox inset="0,0,0,0">
                  <w:txbxContent>
                    <w:p w14:paraId="297DD8EB" w14:textId="77777777" w:rsidR="00616001" w:rsidRPr="00CA68D5" w:rsidRDefault="00616001" w:rsidP="00616001">
                      <w:pPr>
                        <w:pStyle w:val="Caption"/>
                        <w:rPr>
                          <w:noProof/>
                          <w:sz w:val="23"/>
                          <w:szCs w:val="23"/>
                        </w:rPr>
                      </w:pPr>
                      <w:r>
                        <w:t>Table 1</w:t>
                      </w:r>
                      <w:r>
                        <w:t xml:space="preserve">: </w:t>
                      </w:r>
                      <w:r>
                        <w:t xml:space="preserve">The </w:t>
                      </w:r>
                      <w:r>
                        <w:t>A</w:t>
                      </w:r>
                      <w:r>
                        <w:rPr>
                          <w:rFonts w:cs="Times New Roman"/>
                        </w:rPr>
                        <w:t>β</w:t>
                      </w:r>
                      <w:r>
                        <w:rPr>
                          <w:rFonts w:cs="Times New Roman"/>
                        </w:rPr>
                        <w:t>12-28 derived peptides being tested in the aggregation assays.</w:t>
                      </w:r>
                    </w:p>
                  </w:txbxContent>
                </v:textbox>
                <w10:wrap type="square" anchorx="margin"/>
              </v:shape>
            </w:pict>
          </mc:Fallback>
        </mc:AlternateContent>
      </w:r>
      <w:r w:rsidR="00D81CE6" w:rsidRPr="00D81CE6">
        <w:t xml:space="preserve">The </w:t>
      </w:r>
      <w:r w:rsidR="00D81CE6">
        <w:t xml:space="preserve">goal of this </w:t>
      </w:r>
      <w:r w:rsidR="00D81CE6" w:rsidRPr="00D81CE6">
        <w:t xml:space="preserve">experiment is to find a </w:t>
      </w:r>
      <w:r w:rsidR="0030202F">
        <w:t>short</w:t>
      </w:r>
      <w:r w:rsidR="00D81CE6" w:rsidRPr="00D81CE6">
        <w:t xml:space="preserve"> section</w:t>
      </w:r>
      <w:r w:rsidR="0030202F">
        <w:t xml:space="preserve"> or multiple short sections</w:t>
      </w:r>
      <w:r w:rsidR="00D81CE6" w:rsidRPr="00D81CE6">
        <w:t xml:space="preserve"> of</w:t>
      </w:r>
      <w:r w:rsidR="001879AB">
        <w:t xml:space="preserve"> 6-8 residues within</w:t>
      </w:r>
      <w:r w:rsidR="00D81CE6" w:rsidRPr="00D81CE6">
        <w:t xml:space="preserve"> Aβ12-28 that will inhibit the APOE-Aβ binding complex</w:t>
      </w:r>
      <w:r w:rsidR="00D81CE6">
        <w:t>.</w:t>
      </w:r>
      <w:r w:rsidR="00D81CE6">
        <w:rPr>
          <w:rFonts w:cs="Times New Roman"/>
        </w:rPr>
        <w:t xml:space="preserve"> </w:t>
      </w:r>
      <w:r w:rsidR="00EB3911">
        <w:rPr>
          <w:rFonts w:cs="Times New Roman"/>
        </w:rPr>
        <w:t xml:space="preserve">In order to do this, </w:t>
      </w:r>
      <w:r w:rsidR="007D2860">
        <w:rPr>
          <w:rFonts w:cs="Times New Roman"/>
        </w:rPr>
        <w:t xml:space="preserve">portions of </w:t>
      </w:r>
      <w:r w:rsidR="00EB3911">
        <w:t>A</w:t>
      </w:r>
      <w:r w:rsidR="00EB3911">
        <w:rPr>
          <w:rFonts w:cs="Times New Roman"/>
        </w:rPr>
        <w:t xml:space="preserve">β12-28 will be </w:t>
      </w:r>
      <w:r w:rsidR="007D2860">
        <w:rPr>
          <w:rFonts w:cs="Times New Roman"/>
        </w:rPr>
        <w:t>used which represent the C-terminal, N-terminal, or center</w:t>
      </w:r>
      <w:r w:rsidR="00EB3911">
        <w:rPr>
          <w:rFonts w:cs="Times New Roman"/>
        </w:rPr>
        <w:t>.</w:t>
      </w:r>
      <w:r w:rsidR="00281F05">
        <w:rPr>
          <w:rFonts w:cs="Times New Roman"/>
        </w:rPr>
        <w:t xml:space="preserve"> This will allow for prediction of sections which may be more likely to inhibit aggregation levels in the future. For example, if </w:t>
      </w:r>
      <w:r w:rsidR="00281F05">
        <w:t>A</w:t>
      </w:r>
      <w:r w:rsidR="00281F05">
        <w:rPr>
          <w:rFonts w:cs="Times New Roman"/>
        </w:rPr>
        <w:t>β12-17 and</w:t>
      </w:r>
      <w:r w:rsidR="00281F05">
        <w:rPr>
          <w:rFonts w:cs="Times New Roman"/>
        </w:rPr>
        <w:t xml:space="preserve"> </w:t>
      </w:r>
      <w:r w:rsidR="00281F05">
        <w:t>A</w:t>
      </w:r>
      <w:r w:rsidR="00281F05">
        <w:rPr>
          <w:rFonts w:cs="Times New Roman"/>
        </w:rPr>
        <w:t>β</w:t>
      </w:r>
      <w:r w:rsidR="00281F05">
        <w:rPr>
          <w:rFonts w:cs="Times New Roman"/>
        </w:rPr>
        <w:t>17-22 are able to reduce aggregation at higher levels than</w:t>
      </w:r>
      <w:r w:rsidR="00281F05">
        <w:rPr>
          <w:rFonts w:cs="Times New Roman"/>
        </w:rPr>
        <w:t xml:space="preserve"> </w:t>
      </w:r>
      <w:r w:rsidR="00281F05">
        <w:t>A</w:t>
      </w:r>
      <w:r w:rsidR="00281F05">
        <w:rPr>
          <w:rFonts w:cs="Times New Roman"/>
        </w:rPr>
        <w:t>β</w:t>
      </w:r>
      <w:r w:rsidR="00281F05">
        <w:rPr>
          <w:rFonts w:cs="Times New Roman"/>
        </w:rPr>
        <w:t>18-23 and</w:t>
      </w:r>
      <w:r w:rsidR="00281F05">
        <w:rPr>
          <w:rFonts w:cs="Times New Roman"/>
        </w:rPr>
        <w:t xml:space="preserve"> </w:t>
      </w:r>
      <w:r w:rsidR="00281F05">
        <w:t>A</w:t>
      </w:r>
      <w:r w:rsidR="00281F05">
        <w:rPr>
          <w:rFonts w:cs="Times New Roman"/>
        </w:rPr>
        <w:t>β23-28</w:t>
      </w:r>
      <w:r w:rsidR="00281F05">
        <w:rPr>
          <w:rFonts w:cs="Times New Roman"/>
        </w:rPr>
        <w:t xml:space="preserve">, then a future direction of research may focus on residues within </w:t>
      </w:r>
      <w:r w:rsidR="00281F05">
        <w:t>A</w:t>
      </w:r>
      <w:r w:rsidR="00281F05">
        <w:rPr>
          <w:rFonts w:cs="Times New Roman"/>
        </w:rPr>
        <w:t>β</w:t>
      </w:r>
      <w:r w:rsidR="00281F05">
        <w:rPr>
          <w:rFonts w:cs="Times New Roman"/>
        </w:rPr>
        <w:t>12-22.</w:t>
      </w:r>
      <w:r w:rsidR="00EB3911">
        <w:rPr>
          <w:rFonts w:cs="Times New Roman"/>
        </w:rPr>
        <w:t xml:space="preserve"> </w:t>
      </w:r>
      <w:r w:rsidR="00D81CE6">
        <w:rPr>
          <w:rFonts w:cs="Times New Roman"/>
        </w:rPr>
        <w:t>T</w:t>
      </w:r>
      <w:r w:rsidR="00D96DD8">
        <w:rPr>
          <w:rFonts w:cs="Times New Roman"/>
        </w:rPr>
        <w:t xml:space="preserve">he peptides being tested and their lengths </w:t>
      </w:r>
      <w:r w:rsidR="00D81CE6">
        <w:rPr>
          <w:rFonts w:cs="Times New Roman"/>
        </w:rPr>
        <w:t>are as follows:</w:t>
      </w:r>
      <w:r w:rsidR="00DD08DA">
        <w:rPr>
          <w:rFonts w:cs="Times New Roman"/>
        </w:rPr>
        <w:t xml:space="preserve"> </w:t>
      </w:r>
    </w:p>
    <w:tbl>
      <w:tblPr>
        <w:tblStyle w:val="TableGrid"/>
        <w:tblW w:w="0" w:type="auto"/>
        <w:tblLook w:val="04A0" w:firstRow="1" w:lastRow="0" w:firstColumn="1" w:lastColumn="0" w:noHBand="0" w:noVBand="1"/>
      </w:tblPr>
      <w:tblGrid>
        <w:gridCol w:w="4315"/>
        <w:gridCol w:w="5035"/>
      </w:tblGrid>
      <w:tr w:rsidR="009303BC" w14:paraId="6BA8A153" w14:textId="77777777" w:rsidTr="00616001">
        <w:tc>
          <w:tcPr>
            <w:tcW w:w="4315" w:type="dxa"/>
          </w:tcPr>
          <w:p w14:paraId="14E03B06" w14:textId="77777777" w:rsidR="009303BC" w:rsidRDefault="009303BC">
            <w:pPr>
              <w:rPr>
                <w:rFonts w:cs="Times New Roman"/>
              </w:rPr>
            </w:pPr>
            <w:r>
              <w:rPr>
                <w:rFonts w:cs="Times New Roman"/>
              </w:rPr>
              <w:t>Peptides</w:t>
            </w:r>
          </w:p>
        </w:tc>
        <w:tc>
          <w:tcPr>
            <w:tcW w:w="5035" w:type="dxa"/>
          </w:tcPr>
          <w:p w14:paraId="79451E4E" w14:textId="77777777" w:rsidR="009303BC" w:rsidRDefault="009303BC">
            <w:pPr>
              <w:rPr>
                <w:rFonts w:cs="Times New Roman"/>
              </w:rPr>
            </w:pPr>
            <w:r>
              <w:rPr>
                <w:rFonts w:cs="Times New Roman"/>
              </w:rPr>
              <w:t>Number of Residues</w:t>
            </w:r>
          </w:p>
        </w:tc>
      </w:tr>
      <w:tr w:rsidR="009303BC" w14:paraId="7B086340" w14:textId="77777777" w:rsidTr="00616001">
        <w:tc>
          <w:tcPr>
            <w:tcW w:w="4315" w:type="dxa"/>
          </w:tcPr>
          <w:p w14:paraId="3F41EB42" w14:textId="77777777" w:rsidR="009303BC" w:rsidRDefault="009303BC" w:rsidP="009303BC">
            <w:pPr>
              <w:rPr>
                <w:rFonts w:cs="Times New Roman"/>
              </w:rPr>
            </w:pPr>
            <w:r>
              <w:t>A</w:t>
            </w:r>
            <w:r w:rsidR="007D2860">
              <w:rPr>
                <w:rFonts w:cs="Times New Roman"/>
              </w:rPr>
              <w:t xml:space="preserve">β12-17, </w:t>
            </w:r>
            <w:r w:rsidR="007D2860">
              <w:t>A</w:t>
            </w:r>
            <w:r w:rsidR="007D2860">
              <w:rPr>
                <w:rFonts w:cs="Times New Roman"/>
              </w:rPr>
              <w:t>β</w:t>
            </w:r>
            <w:r w:rsidR="007D2860">
              <w:rPr>
                <w:rFonts w:cs="Times New Roman"/>
              </w:rPr>
              <w:t xml:space="preserve">17-22, </w:t>
            </w:r>
            <w:r w:rsidR="007D2860">
              <w:t>A</w:t>
            </w:r>
            <w:r w:rsidR="007D2860">
              <w:rPr>
                <w:rFonts w:cs="Times New Roman"/>
              </w:rPr>
              <w:t>β</w:t>
            </w:r>
            <w:r w:rsidR="007D2860">
              <w:rPr>
                <w:rFonts w:cs="Times New Roman"/>
              </w:rPr>
              <w:t xml:space="preserve">18-23, </w:t>
            </w:r>
            <w:r w:rsidR="007D2860">
              <w:t>A</w:t>
            </w:r>
            <w:r w:rsidR="007D2860">
              <w:rPr>
                <w:rFonts w:cs="Times New Roman"/>
              </w:rPr>
              <w:t>β</w:t>
            </w:r>
            <w:r w:rsidR="007D2860">
              <w:rPr>
                <w:rFonts w:cs="Times New Roman"/>
              </w:rPr>
              <w:t>23-28</w:t>
            </w:r>
          </w:p>
        </w:tc>
        <w:tc>
          <w:tcPr>
            <w:tcW w:w="5035" w:type="dxa"/>
          </w:tcPr>
          <w:p w14:paraId="5EEB116D" w14:textId="77777777" w:rsidR="009303BC" w:rsidRDefault="009303BC">
            <w:pPr>
              <w:rPr>
                <w:rFonts w:cs="Times New Roman"/>
              </w:rPr>
            </w:pPr>
            <w:r>
              <w:rPr>
                <w:rFonts w:cs="Times New Roman"/>
              </w:rPr>
              <w:t>6</w:t>
            </w:r>
          </w:p>
        </w:tc>
      </w:tr>
      <w:tr w:rsidR="009303BC" w14:paraId="6201EC1C" w14:textId="77777777" w:rsidTr="00616001">
        <w:tc>
          <w:tcPr>
            <w:tcW w:w="4315" w:type="dxa"/>
          </w:tcPr>
          <w:p w14:paraId="0BD49A98" w14:textId="77777777" w:rsidR="009303BC" w:rsidRDefault="009303BC" w:rsidP="007D2860">
            <w:pPr>
              <w:rPr>
                <w:rFonts w:cs="Times New Roman"/>
              </w:rPr>
            </w:pPr>
            <w:r>
              <w:t>A</w:t>
            </w:r>
            <w:r w:rsidR="007D2860">
              <w:rPr>
                <w:rFonts w:cs="Times New Roman"/>
              </w:rPr>
              <w:t xml:space="preserve">β12-18, </w:t>
            </w:r>
            <w:r w:rsidR="007D2860">
              <w:t>A</w:t>
            </w:r>
            <w:r w:rsidR="007D2860">
              <w:rPr>
                <w:rFonts w:cs="Times New Roman"/>
              </w:rPr>
              <w:t>β</w:t>
            </w:r>
            <w:r w:rsidR="007D2860">
              <w:rPr>
                <w:rFonts w:cs="Times New Roman"/>
              </w:rPr>
              <w:t xml:space="preserve">17-23, </w:t>
            </w:r>
            <w:r w:rsidR="007D2860">
              <w:t>A</w:t>
            </w:r>
            <w:r w:rsidR="007D2860">
              <w:rPr>
                <w:rFonts w:cs="Times New Roman"/>
              </w:rPr>
              <w:t>β</w:t>
            </w:r>
            <w:r w:rsidR="007D2860">
              <w:rPr>
                <w:rFonts w:cs="Times New Roman"/>
              </w:rPr>
              <w:t>22-28</w:t>
            </w:r>
          </w:p>
        </w:tc>
        <w:tc>
          <w:tcPr>
            <w:tcW w:w="5035" w:type="dxa"/>
          </w:tcPr>
          <w:p w14:paraId="763B74EF" w14:textId="77777777" w:rsidR="009303BC" w:rsidRDefault="009303BC">
            <w:pPr>
              <w:rPr>
                <w:rFonts w:cs="Times New Roman"/>
              </w:rPr>
            </w:pPr>
            <w:r>
              <w:rPr>
                <w:rFonts w:cs="Times New Roman"/>
              </w:rPr>
              <w:t>7</w:t>
            </w:r>
          </w:p>
        </w:tc>
      </w:tr>
      <w:tr w:rsidR="009303BC" w14:paraId="07F034C3" w14:textId="77777777" w:rsidTr="00616001">
        <w:tc>
          <w:tcPr>
            <w:tcW w:w="4315" w:type="dxa"/>
          </w:tcPr>
          <w:p w14:paraId="7ECBCE9A" w14:textId="77777777" w:rsidR="009303BC" w:rsidRDefault="009303BC">
            <w:pPr>
              <w:rPr>
                <w:rFonts w:cs="Times New Roman"/>
              </w:rPr>
            </w:pPr>
            <w:r>
              <w:t>A</w:t>
            </w:r>
            <w:r w:rsidR="007D2860">
              <w:rPr>
                <w:rFonts w:cs="Times New Roman"/>
              </w:rPr>
              <w:t xml:space="preserve">β12-19, </w:t>
            </w:r>
            <w:r w:rsidR="007D2860">
              <w:t>A</w:t>
            </w:r>
            <w:r w:rsidR="007D2860">
              <w:rPr>
                <w:rFonts w:cs="Times New Roman"/>
              </w:rPr>
              <w:t>β</w:t>
            </w:r>
            <w:r w:rsidR="007D2860">
              <w:rPr>
                <w:rFonts w:cs="Times New Roman"/>
              </w:rPr>
              <w:t>28-21</w:t>
            </w:r>
          </w:p>
        </w:tc>
        <w:tc>
          <w:tcPr>
            <w:tcW w:w="5035" w:type="dxa"/>
          </w:tcPr>
          <w:p w14:paraId="6BC1E161" w14:textId="77777777" w:rsidR="009303BC" w:rsidRDefault="009303BC">
            <w:pPr>
              <w:rPr>
                <w:rFonts w:cs="Times New Roman"/>
              </w:rPr>
            </w:pPr>
            <w:r>
              <w:rPr>
                <w:rFonts w:cs="Times New Roman"/>
              </w:rPr>
              <w:t>8</w:t>
            </w:r>
          </w:p>
        </w:tc>
      </w:tr>
    </w:tbl>
    <w:p w14:paraId="2524CD52" w14:textId="77777777" w:rsidR="00FB7EAE" w:rsidRDefault="00FB7EAE">
      <w:pPr>
        <w:rPr>
          <w:rStyle w:val="st"/>
          <w:sz w:val="23"/>
          <w:szCs w:val="23"/>
        </w:rPr>
      </w:pPr>
    </w:p>
    <w:p w14:paraId="0FE58A46" w14:textId="77777777" w:rsidR="000C2E9B" w:rsidRDefault="00DB6E7F">
      <w:pPr>
        <w:rPr>
          <w:rStyle w:val="st"/>
          <w:sz w:val="23"/>
          <w:szCs w:val="23"/>
        </w:rPr>
      </w:pPr>
      <w:r>
        <w:rPr>
          <w:rStyle w:val="st"/>
          <w:sz w:val="23"/>
          <w:szCs w:val="23"/>
        </w:rPr>
        <w:t>An aggregation assay is a technique used to test levels of protein aggregation in the presence of a specific compound.</w:t>
      </w:r>
      <w:r w:rsidR="000C2E9B">
        <w:rPr>
          <w:rStyle w:val="st"/>
          <w:sz w:val="23"/>
          <w:szCs w:val="23"/>
        </w:rPr>
        <w:t xml:space="preserve"> In this case, an aggregation assay will be used to test </w:t>
      </w:r>
      <w:r w:rsidR="000C2E9B">
        <w:t>A</w:t>
      </w:r>
      <w:r w:rsidR="000C2E9B">
        <w:rPr>
          <w:rFonts w:cs="Times New Roman"/>
        </w:rPr>
        <w:t>β</w:t>
      </w:r>
      <w:r w:rsidR="000C2E9B">
        <w:rPr>
          <w:rFonts w:cs="Times New Roman"/>
        </w:rPr>
        <w:t xml:space="preserve"> aggregation levels in the presence of APOE.</w:t>
      </w:r>
      <w:r>
        <w:rPr>
          <w:rStyle w:val="st"/>
          <w:sz w:val="23"/>
          <w:szCs w:val="23"/>
        </w:rPr>
        <w:t xml:space="preserve"> </w:t>
      </w:r>
      <w:r w:rsidR="000C2E9B">
        <w:rPr>
          <w:rStyle w:val="st"/>
          <w:sz w:val="23"/>
          <w:szCs w:val="23"/>
        </w:rPr>
        <w:t>To visualize aggregation levels,</w:t>
      </w:r>
      <w:r w:rsidR="007F638D">
        <w:rPr>
          <w:rStyle w:val="st"/>
          <w:sz w:val="23"/>
          <w:szCs w:val="23"/>
        </w:rPr>
        <w:t xml:space="preserve"> fluorescent tags</w:t>
      </w:r>
      <w:r>
        <w:rPr>
          <w:rStyle w:val="st"/>
          <w:sz w:val="23"/>
          <w:szCs w:val="23"/>
        </w:rPr>
        <w:t xml:space="preserve"> </w:t>
      </w:r>
      <w:r w:rsidR="000C2E9B">
        <w:rPr>
          <w:rStyle w:val="st"/>
          <w:sz w:val="23"/>
          <w:szCs w:val="23"/>
        </w:rPr>
        <w:t>can be</w:t>
      </w:r>
      <w:r>
        <w:rPr>
          <w:rStyle w:val="st"/>
          <w:sz w:val="23"/>
          <w:szCs w:val="23"/>
        </w:rPr>
        <w:t xml:space="preserve"> used</w:t>
      </w:r>
      <w:r w:rsidR="000C2E9B">
        <w:rPr>
          <w:rStyle w:val="st"/>
          <w:sz w:val="23"/>
          <w:szCs w:val="23"/>
        </w:rPr>
        <w:t xml:space="preserve"> and then fluorescent intensity of a sample can be measured to measure aggregation levels</w:t>
      </w:r>
      <w:r>
        <w:rPr>
          <w:rStyle w:val="st"/>
          <w:sz w:val="23"/>
          <w:szCs w:val="23"/>
        </w:rPr>
        <w:t>.</w:t>
      </w:r>
      <w:r w:rsidR="00A14A5A">
        <w:rPr>
          <w:rStyle w:val="st"/>
          <w:sz w:val="23"/>
          <w:szCs w:val="23"/>
        </w:rPr>
        <w:t xml:space="preserve"> This technique was utilized by</w:t>
      </w:r>
      <w:r w:rsidR="00D81CE6">
        <w:rPr>
          <w:rStyle w:val="st"/>
          <w:sz w:val="23"/>
          <w:szCs w:val="23"/>
        </w:rPr>
        <w:t xml:space="preserve"> </w:t>
      </w:r>
      <w:r w:rsidR="009C7F3B">
        <w:rPr>
          <w:rStyle w:val="st"/>
          <w:sz w:val="23"/>
          <w:szCs w:val="23"/>
        </w:rPr>
        <w:t>Sadowski et. al (2006)</w:t>
      </w:r>
      <w:r w:rsidR="009F1343">
        <w:rPr>
          <w:rStyle w:val="st"/>
          <w:sz w:val="23"/>
          <w:szCs w:val="23"/>
        </w:rPr>
        <w:t xml:space="preserve"> and Hao et. al (2010)</w:t>
      </w:r>
      <w:r w:rsidR="00A14A5A">
        <w:rPr>
          <w:rStyle w:val="st"/>
          <w:sz w:val="23"/>
          <w:szCs w:val="23"/>
        </w:rPr>
        <w:t xml:space="preserve">, with both studies </w:t>
      </w:r>
      <w:r w:rsidR="001658F6">
        <w:rPr>
          <w:rStyle w:val="st"/>
          <w:sz w:val="23"/>
          <w:szCs w:val="23"/>
        </w:rPr>
        <w:t>using</w:t>
      </w:r>
      <w:r w:rsidR="009F1343">
        <w:rPr>
          <w:rStyle w:val="st"/>
          <w:sz w:val="23"/>
          <w:szCs w:val="23"/>
        </w:rPr>
        <w:t xml:space="preserve"> fluorescent intensity </w:t>
      </w:r>
      <w:r w:rsidR="00A14A5A">
        <w:rPr>
          <w:rStyle w:val="st"/>
          <w:sz w:val="23"/>
          <w:szCs w:val="23"/>
        </w:rPr>
        <w:t>as the measurement for aggregation</w:t>
      </w:r>
      <w:r w:rsidR="00041AB3">
        <w:rPr>
          <w:rStyle w:val="st"/>
          <w:sz w:val="23"/>
          <w:szCs w:val="23"/>
        </w:rPr>
        <w:t xml:space="preserve">. </w:t>
      </w:r>
    </w:p>
    <w:p w14:paraId="73F65DD8" w14:textId="77777777" w:rsidR="00FA3DD7" w:rsidRDefault="00FA3DD7">
      <w:pPr>
        <w:rPr>
          <w:rStyle w:val="st"/>
          <w:sz w:val="23"/>
          <w:szCs w:val="23"/>
        </w:rPr>
      </w:pPr>
      <w:r>
        <w:rPr>
          <w:rStyle w:val="st"/>
          <w:noProof/>
          <w:sz w:val="23"/>
          <w:szCs w:val="23"/>
        </w:rPr>
        <w:drawing>
          <wp:anchor distT="0" distB="0" distL="114300" distR="114300" simplePos="0" relativeHeight="251665408" behindDoc="0" locked="0" layoutInCell="1" allowOverlap="1" wp14:anchorId="199898AA" wp14:editId="0E256FBA">
            <wp:simplePos x="0" y="0"/>
            <wp:positionH relativeFrom="margin">
              <wp:align>left</wp:align>
            </wp:positionH>
            <wp:positionV relativeFrom="paragraph">
              <wp:posOffset>3810</wp:posOffset>
            </wp:positionV>
            <wp:extent cx="2075180" cy="1627505"/>
            <wp:effectExtent l="0" t="0" r="127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5180"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B0D12" w14:textId="77777777" w:rsidR="003B5F4E" w:rsidRPr="00982573" w:rsidRDefault="00FA3DD7" w:rsidP="00982573">
      <w:r>
        <w:rPr>
          <w:noProof/>
        </w:rPr>
        <mc:AlternateContent>
          <mc:Choice Requires="wps">
            <w:drawing>
              <wp:anchor distT="0" distB="0" distL="114300" distR="114300" simplePos="0" relativeHeight="251667456" behindDoc="0" locked="0" layoutInCell="1" allowOverlap="1" wp14:anchorId="1DE1C655" wp14:editId="79825F8D">
                <wp:simplePos x="0" y="0"/>
                <wp:positionH relativeFrom="margin">
                  <wp:align>left</wp:align>
                </wp:positionH>
                <wp:positionV relativeFrom="paragraph">
                  <wp:posOffset>1417955</wp:posOffset>
                </wp:positionV>
                <wp:extent cx="2076450" cy="6286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76450" cy="628650"/>
                        </a:xfrm>
                        <a:prstGeom prst="rect">
                          <a:avLst/>
                        </a:prstGeom>
                        <a:solidFill>
                          <a:prstClr val="white"/>
                        </a:solidFill>
                        <a:ln>
                          <a:noFill/>
                        </a:ln>
                        <a:effectLst/>
                      </wps:spPr>
                      <wps:txbx>
                        <w:txbxContent>
                          <w:p w14:paraId="1FA0D969" w14:textId="77777777" w:rsidR="00FA3DD7" w:rsidRPr="001565C2" w:rsidRDefault="00FA3DD7" w:rsidP="001565C2">
                            <w:pPr>
                              <w:pStyle w:val="Caption"/>
                              <w:jc w:val="center"/>
                              <w:rPr>
                                <w:noProof/>
                                <w:sz w:val="22"/>
                                <w:szCs w:val="23"/>
                              </w:rPr>
                            </w:pPr>
                            <w:r w:rsidRPr="001565C2">
                              <w:rPr>
                                <w:sz w:val="20"/>
                              </w:rPr>
                              <w:t xml:space="preserve">Figure </w:t>
                            </w:r>
                            <w:r w:rsidRPr="001565C2">
                              <w:rPr>
                                <w:sz w:val="20"/>
                              </w:rPr>
                              <w:fldChar w:fldCharType="begin"/>
                            </w:r>
                            <w:r w:rsidRPr="001565C2">
                              <w:rPr>
                                <w:sz w:val="20"/>
                              </w:rPr>
                              <w:instrText xml:space="preserve"> SEQ Figure \* ARABIC </w:instrText>
                            </w:r>
                            <w:r w:rsidRPr="001565C2">
                              <w:rPr>
                                <w:sz w:val="20"/>
                              </w:rPr>
                              <w:fldChar w:fldCharType="separate"/>
                            </w:r>
                            <w:r w:rsidRPr="001565C2">
                              <w:rPr>
                                <w:noProof/>
                                <w:sz w:val="20"/>
                              </w:rPr>
                              <w:t>2</w:t>
                            </w:r>
                            <w:r w:rsidRPr="001565C2">
                              <w:rPr>
                                <w:sz w:val="20"/>
                              </w:rPr>
                              <w:fldChar w:fldCharType="end"/>
                            </w:r>
                            <w:r w:rsidRPr="001565C2">
                              <w:rPr>
                                <w:sz w:val="20"/>
                              </w:rPr>
                              <w:t>: When ThT is in the presence of amyloid fibrils, it shows an increase in fluorescent intensity. From Biancalana and Koide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1C655" id="Text Box 7" o:spid="_x0000_s1028" type="#_x0000_t202" style="position:absolute;margin-left:0;margin-top:111.65pt;width:163.5pt;height:49.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" stroked="f">
                <v:textbox inset="0,0,0,0">
                  <w:txbxContent>
                    <w:p w14:paraId="1FA0D969" w14:textId="77777777" w:rsidR="00FA3DD7" w:rsidRPr="001565C2" w:rsidRDefault="00FA3DD7" w:rsidP="001565C2">
                      <w:pPr>
                        <w:pStyle w:val="Caption"/>
                        <w:jc w:val="center"/>
                        <w:rPr>
                          <w:noProof/>
                          <w:sz w:val="22"/>
                          <w:szCs w:val="23"/>
                        </w:rPr>
                      </w:pPr>
                      <w:r w:rsidRPr="001565C2">
                        <w:rPr>
                          <w:sz w:val="20"/>
                        </w:rPr>
                        <w:t xml:space="preserve">Figure </w:t>
                      </w:r>
                      <w:r w:rsidRPr="001565C2">
                        <w:rPr>
                          <w:sz w:val="20"/>
                        </w:rPr>
                        <w:fldChar w:fldCharType="begin"/>
                      </w:r>
                      <w:r w:rsidRPr="001565C2">
                        <w:rPr>
                          <w:sz w:val="20"/>
                        </w:rPr>
                        <w:instrText xml:space="preserve"> SEQ Figure \* ARABIC </w:instrText>
                      </w:r>
                      <w:r w:rsidRPr="001565C2">
                        <w:rPr>
                          <w:sz w:val="20"/>
                        </w:rPr>
                        <w:fldChar w:fldCharType="separate"/>
                      </w:r>
                      <w:r w:rsidRPr="001565C2">
                        <w:rPr>
                          <w:noProof/>
                          <w:sz w:val="20"/>
                        </w:rPr>
                        <w:t>2</w:t>
                      </w:r>
                      <w:r w:rsidRPr="001565C2">
                        <w:rPr>
                          <w:sz w:val="20"/>
                        </w:rPr>
                        <w:fldChar w:fldCharType="end"/>
                      </w:r>
                      <w:r w:rsidRPr="001565C2">
                        <w:rPr>
                          <w:sz w:val="20"/>
                        </w:rPr>
                        <w:t>: When ThT is in the presence of amyloid fibrils, it shows an increase in fluorescent intensity. From Biancalana and Koide (2010).</w:t>
                      </w:r>
                    </w:p>
                  </w:txbxContent>
                </v:textbox>
                <w10:wrap type="square" anchorx="margin"/>
              </v:shape>
            </w:pict>
          </mc:Fallback>
        </mc:AlternateContent>
      </w:r>
      <w:r w:rsidR="00D81CE6">
        <w:rPr>
          <w:rStyle w:val="st"/>
          <w:sz w:val="23"/>
          <w:szCs w:val="23"/>
        </w:rPr>
        <w:t xml:space="preserve">In this experiment Thioflavin T, which binds to amyloid-beta aggregations, will be used as the fluorescent tag. </w:t>
      </w:r>
      <w:r w:rsidR="00041AB3">
        <w:t>Thioflavin T (ThT) is a benzathiole compound which selec</w:t>
      </w:r>
      <w:r w:rsidR="00123491">
        <w:t>tively binds to amyloid fibrils</w:t>
      </w:r>
      <w:r w:rsidR="00041AB3">
        <w:rPr>
          <w:vertAlign w:val="superscript"/>
        </w:rPr>
        <w:t>12</w:t>
      </w:r>
      <w:r w:rsidR="00041AB3">
        <w:t>.</w:t>
      </w:r>
      <w:r w:rsidR="00123491">
        <w:t xml:space="preserve"> As shown in Figure 2, the fluorescent intensity given off by ThT in the presence of amyloid fibrils shows a </w:t>
      </w:r>
      <w:r w:rsidR="00982573">
        <w:t xml:space="preserve">large increase. While the mechanism is not completely understood at this point, it is thought that this fluorescent emission is thought to be due to how ThT interacts with the beta sheets in amyloid fibrils. Usually, ThT has a kind of “rotor” movement, with free rotation occurring around the carbon bond between the rings of the molecule. As long as ThT is able to rotate, its electrons </w:t>
      </w:r>
      <w:r w:rsidR="00E12E53">
        <w:t xml:space="preserve">will not easily </w:t>
      </w:r>
      <w:r w:rsidR="0006413F">
        <w:t>enter an excited state when exposed</w:t>
      </w:r>
      <w:r w:rsidR="00E12E53">
        <w:t xml:space="preserve"> to photon excitation</w:t>
      </w:r>
      <w:r w:rsidR="0006413F">
        <w:t>. Thus, fluorescent intensity remains</w:t>
      </w:r>
      <w:r w:rsidR="00E12E53">
        <w:t xml:space="preserve"> low</w:t>
      </w:r>
      <w:r w:rsidR="0006413F">
        <w:t xml:space="preserve"> when ThT is alone</w:t>
      </w:r>
      <w:r w:rsidR="00E12E53">
        <w:t>.</w:t>
      </w:r>
      <w:r w:rsidR="00982573">
        <w:t xml:space="preserve"> One leading prediction as to the cause of fluorescent emission</w:t>
      </w:r>
      <w:r w:rsidR="00E12E53">
        <w:t xml:space="preserve"> when bound to amyloid fibrils is that the molecule becomes “locked,” which allows the electrons to enter an excited state</w:t>
      </w:r>
      <w:r w:rsidR="00982573">
        <w:t xml:space="preserve">. </w:t>
      </w:r>
      <w:r w:rsidR="0006413F">
        <w:t>This in turn leads to an enhancement in fluorescent intensity.</w:t>
      </w:r>
    </w:p>
    <w:p w14:paraId="04B15112" w14:textId="77777777" w:rsidR="00616001" w:rsidRDefault="00616001" w:rsidP="004434F2">
      <w:pPr>
        <w:ind w:left="720" w:hanging="720"/>
        <w:rPr>
          <w:i/>
        </w:rPr>
      </w:pPr>
    </w:p>
    <w:p w14:paraId="217FD7BD" w14:textId="77777777" w:rsidR="00616001" w:rsidRDefault="00616001" w:rsidP="00616001">
      <w:pPr>
        <w:ind w:left="720" w:hanging="720"/>
        <w:rPr>
          <w:rFonts w:cs="Times New Roman"/>
          <w:i/>
        </w:rPr>
      </w:pPr>
      <w:r>
        <w:rPr>
          <w:noProof/>
        </w:rPr>
        <w:lastRenderedPageBreak/>
        <w:drawing>
          <wp:anchor distT="0" distB="0" distL="114300" distR="114300" simplePos="0" relativeHeight="251662336" behindDoc="1" locked="0" layoutInCell="1" allowOverlap="1" wp14:anchorId="1D1F8F54" wp14:editId="5ECA574A">
            <wp:simplePos x="0" y="0"/>
            <wp:positionH relativeFrom="margin">
              <wp:posOffset>-19050</wp:posOffset>
            </wp:positionH>
            <wp:positionV relativeFrom="paragraph">
              <wp:posOffset>186690</wp:posOffset>
            </wp:positionV>
            <wp:extent cx="2544445" cy="1634490"/>
            <wp:effectExtent l="0" t="0" r="8255" b="381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4445" cy="1634490"/>
                    </a:xfrm>
                    <a:prstGeom prst="rect">
                      <a:avLst/>
                    </a:prstGeom>
                  </pic:spPr>
                </pic:pic>
              </a:graphicData>
            </a:graphic>
            <wp14:sizeRelH relativeFrom="page">
              <wp14:pctWidth>0</wp14:pctWidth>
            </wp14:sizeRelH>
            <wp14:sizeRelV relativeFrom="page">
              <wp14:pctHeight>0</wp14:pctHeight>
            </wp14:sizeRelV>
          </wp:anchor>
        </w:drawing>
      </w:r>
      <w:r w:rsidR="00982573">
        <w:rPr>
          <w:i/>
        </w:rPr>
        <w:t>Ag</w:t>
      </w:r>
      <w:r w:rsidR="00755596" w:rsidRPr="00755596">
        <w:rPr>
          <w:i/>
        </w:rPr>
        <w:t>gregation Assays with A</w:t>
      </w:r>
      <w:r w:rsidR="00755596" w:rsidRPr="00755596">
        <w:rPr>
          <w:rFonts w:cs="Times New Roman"/>
          <w:i/>
        </w:rPr>
        <w:t xml:space="preserve">β Derived </w:t>
      </w:r>
      <w:r w:rsidR="00755596">
        <w:rPr>
          <w:rFonts w:cs="Times New Roman"/>
          <w:i/>
        </w:rPr>
        <w:t>Peptides</w:t>
      </w:r>
    </w:p>
    <w:p w14:paraId="408429FA" w14:textId="35D18BCB" w:rsidR="00755596" w:rsidRPr="006F7FBF" w:rsidRDefault="00616001" w:rsidP="006F7FBF">
      <w:pPr>
        <w:rPr>
          <w:rFonts w:cs="Times New Roman"/>
          <w:i/>
        </w:rPr>
      </w:pPr>
      <w:r>
        <w:rPr>
          <w:noProof/>
        </w:rPr>
        <mc:AlternateContent>
          <mc:Choice Requires="wps">
            <w:drawing>
              <wp:anchor distT="0" distB="0" distL="114300" distR="114300" simplePos="0" relativeHeight="251664384" behindDoc="1" locked="0" layoutInCell="1" allowOverlap="1" wp14:anchorId="3229C80F" wp14:editId="07ECA917">
                <wp:simplePos x="0" y="0"/>
                <wp:positionH relativeFrom="margin">
                  <wp:align>left</wp:align>
                </wp:positionH>
                <wp:positionV relativeFrom="paragraph">
                  <wp:posOffset>1696720</wp:posOffset>
                </wp:positionV>
                <wp:extent cx="2533650" cy="727710"/>
                <wp:effectExtent l="0" t="0" r="0" b="0"/>
                <wp:wrapSquare wrapText="right"/>
                <wp:docPr id="5" name="Text Box 5"/>
                <wp:cNvGraphicFramePr/>
                <a:graphic xmlns:a="http://schemas.openxmlformats.org/drawingml/2006/main">
                  <a:graphicData uri="http://schemas.microsoft.com/office/word/2010/wordprocessingShape">
                    <wps:wsp>
                      <wps:cNvSpPr txBox="1"/>
                      <wps:spPr>
                        <a:xfrm>
                          <a:off x="0" y="0"/>
                          <a:ext cx="2533650" cy="727710"/>
                        </a:xfrm>
                        <a:prstGeom prst="rect">
                          <a:avLst/>
                        </a:prstGeom>
                        <a:solidFill>
                          <a:prstClr val="white"/>
                        </a:solidFill>
                        <a:ln>
                          <a:noFill/>
                        </a:ln>
                        <a:effectLst/>
                      </wps:spPr>
                      <wps:txbx>
                        <w:txbxContent>
                          <w:p w14:paraId="5BC268B7" w14:textId="77777777" w:rsidR="004434F2" w:rsidRPr="00D80CEA" w:rsidRDefault="004434F2" w:rsidP="00D80CEA">
                            <w:pPr>
                              <w:pStyle w:val="Caption"/>
                              <w:jc w:val="center"/>
                              <w:rPr>
                                <w:noProof/>
                                <w:sz w:val="16"/>
                                <w:szCs w:val="22"/>
                              </w:rPr>
                            </w:pPr>
                            <w:r w:rsidRPr="00D80CEA">
                              <w:rPr>
                                <w:sz w:val="16"/>
                                <w:szCs w:val="22"/>
                              </w:rPr>
                              <w:t>Figure 3. Fluorescence levels from aggregation assays testing aggregation of A</w:t>
                            </w:r>
                            <w:r w:rsidRPr="00D80CEA">
                              <w:rPr>
                                <w:rFonts w:cs="Times New Roman"/>
                                <w:sz w:val="16"/>
                                <w:szCs w:val="22"/>
                              </w:rPr>
                              <w:t>β1-42. Aggregation is tested individually, in the presence of APOE4, and in the presence of APOE4 and three varying</w:t>
                            </w:r>
                            <w:r w:rsidR="00877F49" w:rsidRPr="00D80CEA">
                              <w:rPr>
                                <w:rFonts w:cs="Times New Roman"/>
                                <w:sz w:val="16"/>
                                <w:szCs w:val="22"/>
                              </w:rPr>
                              <w:t xml:space="preserve"> concentrations </w:t>
                            </w:r>
                            <w:r w:rsidR="00DD08DA" w:rsidRPr="00D80CEA">
                              <w:rPr>
                                <w:rFonts w:cs="Times New Roman"/>
                                <w:sz w:val="16"/>
                                <w:szCs w:val="22"/>
                              </w:rPr>
                              <w:t>of Aβ20</w:t>
                            </w:r>
                            <w:r w:rsidRPr="00D80CEA">
                              <w:rPr>
                                <w:rFonts w:cs="Times New Roman"/>
                                <w:sz w:val="16"/>
                                <w:szCs w:val="22"/>
                              </w:rPr>
                              <w:t xml:space="preserve">-29.The presence of inhibitors results in decreased fluorescent intensity. </w:t>
                            </w:r>
                            <w:r w:rsidR="00B0123B" w:rsidRPr="00D80CEA">
                              <w:rPr>
                                <w:rFonts w:cs="Times New Roman"/>
                                <w:sz w:val="16"/>
                                <w:szCs w:val="22"/>
                              </w:rPr>
                              <w:t>From Hao et. al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9C80F" id="Text Box 5" o:spid="_x0000_s1029" type="#_x0000_t202" style="position:absolute;margin-left:0;margin-top:133.6pt;width:199.5pt;height:57.3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" stroked="f">
                <v:textbox inset="0,0,0,0">
                  <w:txbxContent>
                    <w:p w14:paraId="5BC268B7" w14:textId="77777777" w:rsidR="004434F2" w:rsidRPr="00D80CEA" w:rsidRDefault="004434F2" w:rsidP="00D80CEA">
                      <w:pPr>
                        <w:pStyle w:val="Caption"/>
                        <w:jc w:val="center"/>
                        <w:rPr>
                          <w:noProof/>
                          <w:sz w:val="16"/>
                          <w:szCs w:val="22"/>
                        </w:rPr>
                      </w:pPr>
                      <w:r w:rsidRPr="00D80CEA">
                        <w:rPr>
                          <w:sz w:val="16"/>
                          <w:szCs w:val="22"/>
                        </w:rPr>
                        <w:t>Figure 3. Fluorescence levels from aggregation assays testing aggregation of A</w:t>
                      </w:r>
                      <w:r w:rsidRPr="00D80CEA">
                        <w:rPr>
                          <w:rFonts w:cs="Times New Roman"/>
                          <w:sz w:val="16"/>
                          <w:szCs w:val="22"/>
                        </w:rPr>
                        <w:t>β1-42. Aggregation is tested individually, in the presence of APOE4, and in the presence of APOE4 and three varying</w:t>
                      </w:r>
                      <w:r w:rsidR="00877F49" w:rsidRPr="00D80CEA">
                        <w:rPr>
                          <w:rFonts w:cs="Times New Roman"/>
                          <w:sz w:val="16"/>
                          <w:szCs w:val="22"/>
                        </w:rPr>
                        <w:t xml:space="preserve"> concentrations </w:t>
                      </w:r>
                      <w:r w:rsidR="00DD08DA" w:rsidRPr="00D80CEA">
                        <w:rPr>
                          <w:rFonts w:cs="Times New Roman"/>
                          <w:sz w:val="16"/>
                          <w:szCs w:val="22"/>
                        </w:rPr>
                        <w:t>of Aβ20</w:t>
                      </w:r>
                      <w:r w:rsidRPr="00D80CEA">
                        <w:rPr>
                          <w:rFonts w:cs="Times New Roman"/>
                          <w:sz w:val="16"/>
                          <w:szCs w:val="22"/>
                        </w:rPr>
                        <w:t xml:space="preserve">-29.The presence of inhibitors results in decreased fluorescent intensity. </w:t>
                      </w:r>
                      <w:r w:rsidR="00B0123B" w:rsidRPr="00D80CEA">
                        <w:rPr>
                          <w:rFonts w:cs="Times New Roman"/>
                          <w:sz w:val="16"/>
                          <w:szCs w:val="22"/>
                        </w:rPr>
                        <w:t>From Hao et. al (2010).</w:t>
                      </w:r>
                    </w:p>
                  </w:txbxContent>
                </v:textbox>
                <w10:wrap type="square" side="right" anchorx="margin"/>
              </v:shape>
            </w:pict>
          </mc:Fallback>
        </mc:AlternateContent>
      </w:r>
      <w:r w:rsidR="009F1343">
        <w:rPr>
          <w:rStyle w:val="st"/>
          <w:sz w:val="23"/>
          <w:szCs w:val="23"/>
        </w:rPr>
        <w:t>Because APOE4 has been shown to cause higher levels of aggregation than the other two isoforms, it will be used in the aggregation assays. Additionally</w:t>
      </w:r>
      <w:r w:rsidR="00AA0123">
        <w:rPr>
          <w:rStyle w:val="st"/>
          <w:sz w:val="23"/>
          <w:szCs w:val="23"/>
        </w:rPr>
        <w:t>,</w:t>
      </w:r>
      <w:r>
        <w:rPr>
          <w:rStyle w:val="st"/>
          <w:sz w:val="23"/>
          <w:szCs w:val="23"/>
        </w:rPr>
        <w:t xml:space="preserve"> both </w:t>
      </w:r>
      <w:r>
        <w:t>A</w:t>
      </w:r>
      <w:r>
        <w:rPr>
          <w:rFonts w:cs="Times New Roman"/>
        </w:rPr>
        <w:t>β</w:t>
      </w:r>
      <w:r>
        <w:rPr>
          <w:rFonts w:cs="Times New Roman"/>
        </w:rPr>
        <w:t>1-40 and</w:t>
      </w:r>
      <w:r w:rsidR="009F1343">
        <w:rPr>
          <w:rFonts w:cs="Times New Roman"/>
        </w:rPr>
        <w:t xml:space="preserve"> </w:t>
      </w:r>
      <w:r w:rsidR="009F1343">
        <w:t>A</w:t>
      </w:r>
      <w:r w:rsidR="009F1343">
        <w:rPr>
          <w:rFonts w:cs="Times New Roman"/>
        </w:rPr>
        <w:t>β</w:t>
      </w:r>
      <w:r w:rsidR="00AA0123">
        <w:rPr>
          <w:rFonts w:cs="Times New Roman"/>
        </w:rPr>
        <w:t>1-42</w:t>
      </w:r>
      <w:r w:rsidR="00E55428">
        <w:rPr>
          <w:rFonts w:cs="Times New Roman"/>
        </w:rPr>
        <w:t xml:space="preserve"> </w:t>
      </w:r>
      <w:r w:rsidR="00407D5D">
        <w:rPr>
          <w:rFonts w:cs="Times New Roman"/>
        </w:rPr>
        <w:t xml:space="preserve">aggregation levels </w:t>
      </w:r>
      <w:r w:rsidR="009F1343">
        <w:rPr>
          <w:rFonts w:cs="Times New Roman"/>
        </w:rPr>
        <w:t xml:space="preserve">will be </w:t>
      </w:r>
      <w:r w:rsidR="00407D5D">
        <w:rPr>
          <w:rFonts w:cs="Times New Roman"/>
        </w:rPr>
        <w:t>tested</w:t>
      </w:r>
      <w:r w:rsidR="009F1343">
        <w:rPr>
          <w:rFonts w:cs="Times New Roman"/>
        </w:rPr>
        <w:t xml:space="preserve">. </w:t>
      </w:r>
      <w:r w:rsidR="00304C8E">
        <w:t>The assays prepared will test the ability of</w:t>
      </w:r>
      <w:r>
        <w:t xml:space="preserve"> the</w:t>
      </w:r>
      <w:r w:rsidR="00304C8E">
        <w:t xml:space="preserve"> A</w:t>
      </w:r>
      <w:r w:rsidR="00304C8E">
        <w:rPr>
          <w:rFonts w:cs="Times New Roman"/>
        </w:rPr>
        <w:t xml:space="preserve">β12-28 derived peptides to inhibit the interaction of APOE4 and </w:t>
      </w:r>
      <w:r w:rsidR="00304C8E">
        <w:t>A</w:t>
      </w:r>
      <w:r w:rsidR="00304C8E">
        <w:rPr>
          <w:rFonts w:cs="Times New Roman"/>
        </w:rPr>
        <w:t xml:space="preserve">β1-42. In order to establish a baseline for comparison of aggregation in the presence of the derived peptides, there will be controls: an aggregation assay of just </w:t>
      </w:r>
      <w:r w:rsidR="00304C8E">
        <w:t>A</w:t>
      </w:r>
      <w:r w:rsidR="00304C8E">
        <w:rPr>
          <w:rFonts w:cs="Times New Roman"/>
        </w:rPr>
        <w:t>β1-42</w:t>
      </w:r>
      <w:r w:rsidR="00FB7EAE">
        <w:rPr>
          <w:rFonts w:cs="Times New Roman"/>
        </w:rPr>
        <w:t xml:space="preserve"> or </w:t>
      </w:r>
      <w:r w:rsidR="00FB7EAE">
        <w:t>A</w:t>
      </w:r>
      <w:r w:rsidR="00FB7EAE">
        <w:rPr>
          <w:rFonts w:cs="Times New Roman"/>
        </w:rPr>
        <w:t xml:space="preserve">β1-40, </w:t>
      </w:r>
      <w:r w:rsidR="00304C8E">
        <w:rPr>
          <w:rFonts w:cs="Times New Roman"/>
        </w:rPr>
        <w:t xml:space="preserve">an aggregation assay of APOE4 and </w:t>
      </w:r>
      <w:r w:rsidR="00304C8E">
        <w:t>A</w:t>
      </w:r>
      <w:r w:rsidR="00304C8E">
        <w:rPr>
          <w:rFonts w:cs="Times New Roman"/>
        </w:rPr>
        <w:t>β</w:t>
      </w:r>
      <w:r w:rsidR="00C4128D">
        <w:rPr>
          <w:rFonts w:cs="Times New Roman"/>
        </w:rPr>
        <w:t>1-42</w:t>
      </w:r>
      <w:r w:rsidR="00FB7EAE">
        <w:rPr>
          <w:rFonts w:cs="Times New Roman"/>
        </w:rPr>
        <w:t xml:space="preserve"> or APOE4 and </w:t>
      </w:r>
      <w:r w:rsidR="00FB7EAE">
        <w:t>A</w:t>
      </w:r>
      <w:r w:rsidR="00FB7EAE">
        <w:rPr>
          <w:rFonts w:cs="Times New Roman"/>
        </w:rPr>
        <w:t xml:space="preserve">β1-40, an aggregation assay of each </w:t>
      </w:r>
      <w:r w:rsidR="00FB7EAE">
        <w:t>A</w:t>
      </w:r>
      <w:r w:rsidR="00FB7EAE">
        <w:rPr>
          <w:rFonts w:cs="Times New Roman"/>
        </w:rPr>
        <w:t>β12-28 derived peptide by itself, and an aggregation assay of just APOE4</w:t>
      </w:r>
      <w:r w:rsidR="00C4128D">
        <w:rPr>
          <w:rFonts w:cs="Times New Roman"/>
        </w:rPr>
        <w:t xml:space="preserve">. Modeling after </w:t>
      </w:r>
      <w:r w:rsidR="00304C8E">
        <w:rPr>
          <w:rFonts w:cs="Times New Roman"/>
        </w:rPr>
        <w:t xml:space="preserve">protocol set forth by </w:t>
      </w:r>
      <w:r w:rsidR="001E4E20">
        <w:rPr>
          <w:rFonts w:cs="Times New Roman"/>
        </w:rPr>
        <w:t>Hao et. al (2010), each pe</w:t>
      </w:r>
      <w:r w:rsidR="00B0123B">
        <w:rPr>
          <w:rFonts w:cs="Times New Roman"/>
        </w:rPr>
        <w:t xml:space="preserve">ptide will be tested at varying </w:t>
      </w:r>
      <w:r w:rsidR="001E4E20">
        <w:rPr>
          <w:rFonts w:cs="Times New Roman"/>
        </w:rPr>
        <w:t>concentrations</w:t>
      </w:r>
      <w:r>
        <w:rPr>
          <w:rFonts w:cs="Times New Roman"/>
        </w:rPr>
        <w:t xml:space="preserve"> in order to determine if a </w:t>
      </w:r>
      <w:r w:rsidR="003E08ED">
        <w:rPr>
          <w:rFonts w:cs="Times New Roman"/>
        </w:rPr>
        <w:t>specific concentration is</w:t>
      </w:r>
      <w:r w:rsidR="006F7FBF">
        <w:rPr>
          <w:rFonts w:cs="Times New Roman"/>
          <w:i/>
        </w:rPr>
        <w:t xml:space="preserve"> </w:t>
      </w:r>
      <w:r w:rsidR="003E08ED">
        <w:rPr>
          <w:rFonts w:cs="Times New Roman"/>
        </w:rPr>
        <w:t>needed to inhibit</w:t>
      </w:r>
      <w:r w:rsidR="00FB7EAE">
        <w:rPr>
          <w:rFonts w:cs="Times New Roman"/>
        </w:rPr>
        <w:t>. The concentrations will be 10, 50, or 100 µM.</w:t>
      </w:r>
      <w:r w:rsidR="00B0123B">
        <w:rPr>
          <w:rFonts w:cs="Times New Roman"/>
        </w:rPr>
        <w:t xml:space="preserve"> Every six </w:t>
      </w:r>
      <w:r w:rsidR="001E4E20">
        <w:rPr>
          <w:rFonts w:cs="Times New Roman"/>
        </w:rPr>
        <w:t xml:space="preserve">hours for </w:t>
      </w:r>
      <w:r w:rsidR="007F638D">
        <w:rPr>
          <w:rFonts w:cs="Times New Roman"/>
        </w:rPr>
        <w:t>120 hours</w:t>
      </w:r>
      <w:r w:rsidR="00C4128D">
        <w:rPr>
          <w:rFonts w:cs="Times New Roman"/>
        </w:rPr>
        <w:t xml:space="preserve">, a sample </w:t>
      </w:r>
      <w:r w:rsidR="001E4E20">
        <w:rPr>
          <w:rFonts w:cs="Times New Roman"/>
        </w:rPr>
        <w:t>will be taken.</w:t>
      </w:r>
      <w:r>
        <w:rPr>
          <w:rFonts w:cs="Times New Roman"/>
        </w:rPr>
        <w:t xml:space="preserve"> ThT will be added to the</w:t>
      </w:r>
      <w:r w:rsidR="006F7FBF">
        <w:rPr>
          <w:rFonts w:cs="Times New Roman"/>
          <w:i/>
        </w:rPr>
        <w:t xml:space="preserve"> </w:t>
      </w:r>
      <w:r w:rsidR="00B0123B">
        <w:rPr>
          <w:rFonts w:cs="Times New Roman"/>
        </w:rPr>
        <w:t>sample and a period of incubation will take place. Following incubation, a</w:t>
      </w:r>
      <w:r w:rsidR="003E08ED">
        <w:rPr>
          <w:rFonts w:cs="Times New Roman"/>
        </w:rPr>
        <w:t xml:space="preserve"> </w:t>
      </w:r>
      <w:r>
        <w:rPr>
          <w:rFonts w:cs="Times New Roman"/>
        </w:rPr>
        <w:t>spectrofluorometer</w:t>
      </w:r>
      <w:r w:rsidR="006F7FBF">
        <w:rPr>
          <w:rFonts w:cs="Times New Roman"/>
          <w:i/>
        </w:rPr>
        <w:t xml:space="preserve"> </w:t>
      </w:r>
      <w:r w:rsidR="00B0123B">
        <w:rPr>
          <w:rFonts w:cs="Times New Roman"/>
        </w:rPr>
        <w:t xml:space="preserve">will be </w:t>
      </w:r>
      <w:r w:rsidR="003E08ED">
        <w:rPr>
          <w:rFonts w:cs="Times New Roman"/>
        </w:rPr>
        <w:t>used to measure the level of fluorescence</w:t>
      </w:r>
      <w:r w:rsidR="00BE2A00">
        <w:rPr>
          <w:rFonts w:cs="Times New Roman"/>
        </w:rPr>
        <w:t xml:space="preserve"> of the </w:t>
      </w:r>
      <w:r w:rsidR="00B0123B">
        <w:rPr>
          <w:rFonts w:cs="Times New Roman"/>
        </w:rPr>
        <w:t>sample</w:t>
      </w:r>
      <w:r w:rsidR="003E08ED">
        <w:rPr>
          <w:rFonts w:cs="Times New Roman"/>
        </w:rPr>
        <w:t xml:space="preserve">. </w:t>
      </w:r>
      <w:r w:rsidR="00B0123B">
        <w:rPr>
          <w:rFonts w:cs="Times New Roman"/>
        </w:rPr>
        <w:t>T</w:t>
      </w:r>
      <w:r>
        <w:rPr>
          <w:rFonts w:cs="Times New Roman"/>
        </w:rPr>
        <w:t>his will be done for all of the</w:t>
      </w:r>
      <w:r w:rsidR="006F7FBF">
        <w:rPr>
          <w:rFonts w:cs="Times New Roman"/>
          <w:i/>
        </w:rPr>
        <w:t xml:space="preserve"> </w:t>
      </w:r>
      <w:r w:rsidR="00B0123B">
        <w:rPr>
          <w:rFonts w:cs="Times New Roman"/>
        </w:rPr>
        <w:t>samples and the controls. At the end of the 120 hour period,</w:t>
      </w:r>
      <w:r>
        <w:rPr>
          <w:rFonts w:cs="Times New Roman"/>
        </w:rPr>
        <w:t xml:space="preserve"> fluorescent intensity from the</w:t>
      </w:r>
      <w:r w:rsidR="006F7FBF">
        <w:rPr>
          <w:rFonts w:cs="Times New Roman"/>
          <w:i/>
        </w:rPr>
        <w:t xml:space="preserve"> </w:t>
      </w:r>
      <w:r w:rsidR="00B0123B">
        <w:rPr>
          <w:rFonts w:cs="Times New Roman"/>
        </w:rPr>
        <w:t>controls and the test assays will be compared.  These compariso</w:t>
      </w:r>
      <w:r>
        <w:rPr>
          <w:rFonts w:cs="Times New Roman"/>
        </w:rPr>
        <w:t>ns will show if the presence of</w:t>
      </w:r>
      <w:r w:rsidR="006F7FBF">
        <w:rPr>
          <w:rFonts w:cs="Times New Roman"/>
          <w:i/>
        </w:rPr>
        <w:t xml:space="preserve"> </w:t>
      </w:r>
      <w:r w:rsidR="00B0123B">
        <w:t>A</w:t>
      </w:r>
      <w:r w:rsidR="00B0123B">
        <w:rPr>
          <w:rFonts w:cs="Times New Roman"/>
        </w:rPr>
        <w:t>β derivati</w:t>
      </w:r>
      <w:r w:rsidR="008B5071">
        <w:rPr>
          <w:rFonts w:cs="Times New Roman"/>
        </w:rPr>
        <w:t>ve peptides reduced aggregation levels</w:t>
      </w:r>
      <w:r w:rsidR="00B0123B">
        <w:rPr>
          <w:rFonts w:cs="Times New Roman"/>
        </w:rPr>
        <w:t xml:space="preserve"> when compared to the control assays.</w:t>
      </w:r>
    </w:p>
    <w:p w14:paraId="294B3E21" w14:textId="77777777" w:rsidR="00E53EF9" w:rsidRDefault="00E53EF9">
      <w:pPr>
        <w:rPr>
          <w:rFonts w:cs="Times New Roman"/>
          <w:b/>
        </w:rPr>
      </w:pPr>
    </w:p>
    <w:p w14:paraId="469B3774" w14:textId="77777777" w:rsidR="00BE2A00" w:rsidRDefault="00BE2A00">
      <w:pPr>
        <w:rPr>
          <w:rFonts w:cs="Times New Roman"/>
        </w:rPr>
      </w:pPr>
      <w:r>
        <w:rPr>
          <w:rFonts w:cs="Times New Roman"/>
          <w:b/>
        </w:rPr>
        <w:t xml:space="preserve">III. Discussion </w:t>
      </w:r>
    </w:p>
    <w:p w14:paraId="4BAB3136" w14:textId="77777777" w:rsidR="00BE2A00" w:rsidRDefault="00BE2A00">
      <w:pPr>
        <w:rPr>
          <w:rFonts w:cs="Times New Roman"/>
        </w:rPr>
      </w:pPr>
    </w:p>
    <w:p w14:paraId="018BB6D1" w14:textId="01616911" w:rsidR="00EB4EEC" w:rsidRDefault="00582689">
      <w:pPr>
        <w:rPr>
          <w:rFonts w:cs="Times New Roman"/>
        </w:rPr>
      </w:pPr>
      <w:r>
        <w:rPr>
          <w:rFonts w:cs="Times New Roman"/>
        </w:rPr>
        <w:t xml:space="preserve">The ideal result of this experiment is that the presence of the peptides being tested for inhibiting capabilities will result in fluorescence intensities which are lower than those measured in assays of </w:t>
      </w:r>
      <w:r>
        <w:t>A</w:t>
      </w:r>
      <w:r>
        <w:rPr>
          <w:rFonts w:cs="Times New Roman"/>
        </w:rPr>
        <w:t xml:space="preserve">β and APOE. These results would suggest that the peptides display some ability to reduce aggregation. However, the world is not always ideal and so there are two other possibilities which should be addressed. </w:t>
      </w:r>
      <w:r w:rsidR="00050337">
        <w:rPr>
          <w:rFonts w:cs="Times New Roman"/>
        </w:rPr>
        <w:t>It is possible that none of the peptides</w:t>
      </w:r>
      <w:r>
        <w:rPr>
          <w:rFonts w:cs="Times New Roman"/>
        </w:rPr>
        <w:t xml:space="preserve"> affect fluorescent intensity at all, which would suggest no change in aggregation levels. </w:t>
      </w:r>
      <w:r w:rsidR="001879AB">
        <w:rPr>
          <w:rFonts w:cs="Times New Roman"/>
        </w:rPr>
        <w:t xml:space="preserve">The </w:t>
      </w:r>
      <w:r w:rsidR="00B03B0C">
        <w:rPr>
          <w:rFonts w:cs="Times New Roman"/>
        </w:rPr>
        <w:t>other</w:t>
      </w:r>
      <w:r w:rsidR="001879AB">
        <w:rPr>
          <w:rFonts w:cs="Times New Roman"/>
        </w:rPr>
        <w:t xml:space="preserve"> possibility is that the presence of the peptides increases fluorescent intensity, suggesting that the peptides likely add to</w:t>
      </w:r>
      <w:r w:rsidR="004619CE">
        <w:rPr>
          <w:rFonts w:cs="Times New Roman"/>
        </w:rPr>
        <w:t xml:space="preserve"> or promote</w:t>
      </w:r>
      <w:r w:rsidR="001879AB">
        <w:rPr>
          <w:rFonts w:cs="Times New Roman"/>
        </w:rPr>
        <w:t xml:space="preserve"> aggregations. </w:t>
      </w:r>
    </w:p>
    <w:p w14:paraId="67F12D5D" w14:textId="77777777" w:rsidR="001879AB" w:rsidRDefault="001879AB">
      <w:pPr>
        <w:rPr>
          <w:rFonts w:cs="Times New Roman"/>
        </w:rPr>
      </w:pPr>
    </w:p>
    <w:p w14:paraId="2A6646E4" w14:textId="77777777" w:rsidR="003863C9" w:rsidRDefault="001879AB">
      <w:pPr>
        <w:rPr>
          <w:rFonts w:cs="Times New Roman"/>
        </w:rPr>
      </w:pPr>
      <w:r>
        <w:rPr>
          <w:rFonts w:cs="Times New Roman"/>
        </w:rPr>
        <w:t xml:space="preserve">If the ideal result is obtained, then the research question will have been satisfied. The purpose of the experiment is to determine if there are 6-8 residue sections within </w:t>
      </w:r>
      <w:r>
        <w:t>A</w:t>
      </w:r>
      <w:r>
        <w:rPr>
          <w:rFonts w:cs="Times New Roman"/>
        </w:rPr>
        <w:t xml:space="preserve">β12-28 that are capable of inhibiting the </w:t>
      </w:r>
      <w:r>
        <w:t>A</w:t>
      </w:r>
      <w:r>
        <w:rPr>
          <w:rFonts w:cs="Times New Roman"/>
        </w:rPr>
        <w:t xml:space="preserve">β-APOE binding complex. If any sections are found, then they could be used as a starting point for structure-based drug design. This result could also shed new insight into the binding of </w:t>
      </w:r>
      <w:r>
        <w:t>A</w:t>
      </w:r>
      <w:r>
        <w:rPr>
          <w:rFonts w:cs="Times New Roman"/>
        </w:rPr>
        <w:t xml:space="preserve">β and APOE, showing that certain residues may bind more strongly to APOE. </w:t>
      </w:r>
      <w:r w:rsidR="00E13BDB">
        <w:rPr>
          <w:rFonts w:cs="Times New Roman"/>
        </w:rPr>
        <w:t>If peptides retaining more residues on the N-terminal end show greater inhibition</w:t>
      </w:r>
      <w:r w:rsidR="00150396">
        <w:rPr>
          <w:rFonts w:cs="Times New Roman"/>
        </w:rPr>
        <w:t xml:space="preserve"> </w:t>
      </w:r>
      <w:r w:rsidR="0084075C">
        <w:rPr>
          <w:rFonts w:cs="Times New Roman"/>
        </w:rPr>
        <w:t>abilities</w:t>
      </w:r>
      <w:r w:rsidR="00E13BDB">
        <w:rPr>
          <w:rFonts w:cs="Times New Roman"/>
        </w:rPr>
        <w:t xml:space="preserve"> then those results</w:t>
      </w:r>
      <w:r w:rsidR="0084075C">
        <w:rPr>
          <w:rFonts w:cs="Times New Roman"/>
        </w:rPr>
        <w:t>,</w:t>
      </w:r>
      <w:r w:rsidR="00E13BDB">
        <w:rPr>
          <w:rFonts w:cs="Times New Roman"/>
        </w:rPr>
        <w:t xml:space="preserve"> </w:t>
      </w:r>
      <w:r w:rsidR="004619CE">
        <w:rPr>
          <w:rFonts w:cs="Times New Roman"/>
        </w:rPr>
        <w:t>in addition to</w:t>
      </w:r>
      <w:r w:rsidR="00E13BDB">
        <w:rPr>
          <w:rFonts w:cs="Times New Roman"/>
        </w:rPr>
        <w:t xml:space="preserve"> results from Hao et. al</w:t>
      </w:r>
      <w:r w:rsidR="004619CE">
        <w:rPr>
          <w:rFonts w:cs="Times New Roman"/>
        </w:rPr>
        <w:t xml:space="preserve"> (2010)</w:t>
      </w:r>
      <w:r w:rsidR="0084075C">
        <w:rPr>
          <w:rFonts w:cs="Times New Roman"/>
        </w:rPr>
        <w:t>,</w:t>
      </w:r>
      <w:r w:rsidR="00E13BDB">
        <w:rPr>
          <w:rFonts w:cs="Times New Roman"/>
        </w:rPr>
        <w:t xml:space="preserve"> would </w:t>
      </w:r>
      <w:r w:rsidR="004619CE">
        <w:rPr>
          <w:rFonts w:cs="Times New Roman"/>
        </w:rPr>
        <w:t>lend</w:t>
      </w:r>
      <w:r w:rsidR="00E13BDB">
        <w:rPr>
          <w:rFonts w:cs="Times New Roman"/>
        </w:rPr>
        <w:t xml:space="preserve"> support to focusing on cutting from the C-terminal when creating shorter peptides from </w:t>
      </w:r>
      <w:r w:rsidR="00E13BDB">
        <w:t>A</w:t>
      </w:r>
      <w:r w:rsidR="00E13BDB">
        <w:rPr>
          <w:rFonts w:cs="Times New Roman"/>
        </w:rPr>
        <w:t xml:space="preserve">β12-28. </w:t>
      </w:r>
    </w:p>
    <w:p w14:paraId="30BA72AB" w14:textId="77777777" w:rsidR="00150396" w:rsidRDefault="00150396">
      <w:pPr>
        <w:rPr>
          <w:rFonts w:cs="Times New Roman"/>
        </w:rPr>
      </w:pPr>
    </w:p>
    <w:p w14:paraId="7BCDDBCA" w14:textId="3F816EB4" w:rsidR="004619CE" w:rsidRDefault="00C46FF3">
      <w:pPr>
        <w:rPr>
          <w:rFonts w:cs="Times New Roman"/>
        </w:rPr>
      </w:pPr>
      <w:r>
        <w:rPr>
          <w:rFonts w:cs="Times New Roman"/>
        </w:rPr>
        <w:t>Alternatively, the research question would not be satisfied with the other two results.</w:t>
      </w:r>
      <w:r w:rsidR="004619CE">
        <w:rPr>
          <w:rFonts w:cs="Times New Roman"/>
        </w:rPr>
        <w:t xml:space="preserve"> If no 6-8 residue section of </w:t>
      </w:r>
      <w:r w:rsidR="004619CE">
        <w:t>A</w:t>
      </w:r>
      <w:r w:rsidR="004619CE">
        <w:rPr>
          <w:rFonts w:cs="Times New Roman"/>
        </w:rPr>
        <w:t xml:space="preserve">β12-18 is found to decrease aggregation levels, then they are likely not inhibitors. If 6-8 residue sections increase aggregation levels, then they also are not likely to be inhibitors. However, these results </w:t>
      </w:r>
      <w:r w:rsidR="00E02D0B">
        <w:rPr>
          <w:rFonts w:cs="Times New Roman"/>
        </w:rPr>
        <w:t>may</w:t>
      </w:r>
      <w:r w:rsidR="004619CE">
        <w:rPr>
          <w:rFonts w:cs="Times New Roman"/>
        </w:rPr>
        <w:t xml:space="preserve"> </w:t>
      </w:r>
      <w:r w:rsidR="00E3135B">
        <w:rPr>
          <w:rFonts w:cs="Times New Roman"/>
        </w:rPr>
        <w:t>expand knowledge of the aggregation pathways</w:t>
      </w:r>
      <w:r w:rsidR="004619CE">
        <w:rPr>
          <w:rFonts w:cs="Times New Roman"/>
        </w:rPr>
        <w:t xml:space="preserve"> of </w:t>
      </w:r>
      <w:r w:rsidR="004619CE">
        <w:t>A</w:t>
      </w:r>
      <w:r w:rsidR="004619CE">
        <w:rPr>
          <w:rFonts w:cs="Times New Roman"/>
        </w:rPr>
        <w:t xml:space="preserve">β. If the peptides increase aggregation levels, then they may shed light on key residues in the development of fibrils. </w:t>
      </w:r>
    </w:p>
    <w:p w14:paraId="2375D423" w14:textId="77777777" w:rsidR="00D07829" w:rsidRDefault="00D07829">
      <w:pPr>
        <w:rPr>
          <w:rFonts w:cs="Times New Roman"/>
        </w:rPr>
      </w:pPr>
    </w:p>
    <w:p w14:paraId="7A581103" w14:textId="77777777" w:rsidR="00D07829" w:rsidRPr="008A044F" w:rsidRDefault="00D07829">
      <w:pPr>
        <w:rPr>
          <w:rFonts w:cs="Times New Roman"/>
        </w:rPr>
      </w:pPr>
      <w:r>
        <w:rPr>
          <w:rFonts w:cs="Times New Roman"/>
        </w:rPr>
        <w:t>When measuring fluorescent intensity, conditions for Thioflavin T staining must be carefully controlled. While ThT is referred to as the “golden standard”</w:t>
      </w:r>
      <w:r>
        <w:rPr>
          <w:rFonts w:cs="Times New Roman"/>
          <w:vertAlign w:val="superscript"/>
        </w:rPr>
        <w:t>12</w:t>
      </w:r>
      <w:r>
        <w:rPr>
          <w:rFonts w:cs="Times New Roman"/>
        </w:rPr>
        <w:t xml:space="preserve"> of amyloid fibril detection, this is only because it is better than other dyes. It will still bind to other molecules, namely the hydrophobic regions of globular proteins</w:t>
      </w:r>
      <w:r w:rsidR="008A044F">
        <w:rPr>
          <w:rFonts w:cs="Times New Roman"/>
          <w:vertAlign w:val="superscript"/>
        </w:rPr>
        <w:t>15</w:t>
      </w:r>
      <w:r w:rsidR="008A044F">
        <w:rPr>
          <w:rFonts w:cs="Times New Roman"/>
        </w:rPr>
        <w:t xml:space="preserve">. While this may be more relevant in </w:t>
      </w:r>
      <w:r w:rsidR="008A044F">
        <w:rPr>
          <w:rFonts w:cs="Times New Roman"/>
          <w:i/>
        </w:rPr>
        <w:t xml:space="preserve">in vivo </w:t>
      </w:r>
      <w:r w:rsidR="008A044F">
        <w:rPr>
          <w:rFonts w:cs="Times New Roman"/>
        </w:rPr>
        <w:t>experimen</w:t>
      </w:r>
      <w:r w:rsidR="00B17612">
        <w:rPr>
          <w:rFonts w:cs="Times New Roman"/>
        </w:rPr>
        <w:t xml:space="preserve">ts, extra precaution should be taken so </w:t>
      </w:r>
      <w:r w:rsidR="008A044F">
        <w:rPr>
          <w:rFonts w:cs="Times New Roman"/>
        </w:rPr>
        <w:t>that ThT does not bind materials used during</w:t>
      </w:r>
      <w:r w:rsidR="00B17612">
        <w:rPr>
          <w:rFonts w:cs="Times New Roman"/>
        </w:rPr>
        <w:t xml:space="preserve"> the experiment</w:t>
      </w:r>
      <w:r w:rsidR="008A044F">
        <w:rPr>
          <w:rFonts w:cs="Times New Roman"/>
        </w:rPr>
        <w:t>.</w:t>
      </w:r>
    </w:p>
    <w:p w14:paraId="1F91992D" w14:textId="77777777" w:rsidR="004619CE" w:rsidRDefault="004619CE">
      <w:pPr>
        <w:rPr>
          <w:rFonts w:cs="Times New Roman"/>
        </w:rPr>
      </w:pPr>
    </w:p>
    <w:p w14:paraId="2FAE1B35" w14:textId="1F9F03FF" w:rsidR="00D96CE4" w:rsidRDefault="00C46FF3">
      <w:pPr>
        <w:rPr>
          <w:rFonts w:cs="Times New Roman"/>
        </w:rPr>
      </w:pPr>
      <w:r>
        <w:rPr>
          <w:rFonts w:cs="Times New Roman"/>
        </w:rPr>
        <w:t xml:space="preserve">The peptides </w:t>
      </w:r>
      <w:r w:rsidR="004619CE">
        <w:rPr>
          <w:rFonts w:cs="Times New Roman"/>
        </w:rPr>
        <w:t xml:space="preserve">tested in this experiment were used because they </w:t>
      </w:r>
      <w:r w:rsidR="002142BE">
        <w:rPr>
          <w:rFonts w:cs="Times New Roman"/>
        </w:rPr>
        <w:t>were even</w:t>
      </w:r>
      <w:r>
        <w:rPr>
          <w:rFonts w:cs="Times New Roman"/>
        </w:rPr>
        <w:t xml:space="preserve"> cut</w:t>
      </w:r>
      <w:r w:rsidR="002142BE">
        <w:rPr>
          <w:rFonts w:cs="Times New Roman"/>
        </w:rPr>
        <w:t>s from</w:t>
      </w:r>
      <w:r>
        <w:rPr>
          <w:rFonts w:cs="Times New Roman"/>
        </w:rPr>
        <w:t xml:space="preserve"> </w:t>
      </w:r>
      <w:r>
        <w:t>A</w:t>
      </w:r>
      <w:r>
        <w:rPr>
          <w:rFonts w:cs="Times New Roman"/>
        </w:rPr>
        <w:t>β</w:t>
      </w:r>
      <w:r w:rsidR="002142BE">
        <w:rPr>
          <w:rFonts w:cs="Times New Roman"/>
        </w:rPr>
        <w:t>12-18</w:t>
      </w:r>
      <w:r>
        <w:rPr>
          <w:rFonts w:cs="Times New Roman"/>
        </w:rPr>
        <w:t xml:space="preserve"> </w:t>
      </w:r>
      <w:r w:rsidR="0023437B">
        <w:rPr>
          <w:rFonts w:cs="Times New Roman"/>
        </w:rPr>
        <w:t>that were</w:t>
      </w:r>
      <w:r>
        <w:rPr>
          <w:rFonts w:cs="Times New Roman"/>
        </w:rPr>
        <w:t xml:space="preserve"> 6-8 residues</w:t>
      </w:r>
      <w:r w:rsidR="0023437B">
        <w:rPr>
          <w:rFonts w:cs="Times New Roman"/>
        </w:rPr>
        <w:t xml:space="preserve"> long</w:t>
      </w:r>
      <w:r>
        <w:rPr>
          <w:rFonts w:cs="Times New Roman"/>
        </w:rPr>
        <w:t>.</w:t>
      </w:r>
      <w:r w:rsidR="00E13BDB">
        <w:rPr>
          <w:rFonts w:cs="Times New Roman"/>
        </w:rPr>
        <w:t xml:space="preserve"> </w:t>
      </w:r>
      <w:r w:rsidR="00D96CE4">
        <w:rPr>
          <w:rFonts w:cs="Times New Roman"/>
        </w:rPr>
        <w:t>However, this study is limited in that it does not test all 29 possible residues which are 6-8 res</w:t>
      </w:r>
      <w:r w:rsidR="004A0470">
        <w:rPr>
          <w:rFonts w:cs="Times New Roman"/>
        </w:rPr>
        <w:t>idues in length. What it does</w:t>
      </w:r>
      <w:r w:rsidR="00D96CE4">
        <w:rPr>
          <w:rFonts w:cs="Times New Roman"/>
        </w:rPr>
        <w:t xml:space="preserve"> is take a sample by </w:t>
      </w:r>
      <w:r w:rsidR="00CA1496">
        <w:rPr>
          <w:rFonts w:cs="Times New Roman"/>
        </w:rPr>
        <w:t>taking</w:t>
      </w:r>
      <w:r w:rsidR="004D19FC">
        <w:rPr>
          <w:rFonts w:cs="Times New Roman"/>
        </w:rPr>
        <w:t xml:space="preserve"> </w:t>
      </w:r>
      <w:r w:rsidR="0001139F">
        <w:rPr>
          <w:rFonts w:cs="Times New Roman"/>
        </w:rPr>
        <w:t xml:space="preserve">equal </w:t>
      </w:r>
      <w:r w:rsidR="004D19FC">
        <w:rPr>
          <w:rFonts w:cs="Times New Roman"/>
        </w:rPr>
        <w:t>portions</w:t>
      </w:r>
      <w:r w:rsidR="00D07829">
        <w:rPr>
          <w:rFonts w:cs="Times New Roman"/>
        </w:rPr>
        <w:t xml:space="preserve"> from </w:t>
      </w:r>
      <w:r w:rsidR="00CA1496">
        <w:t>A</w:t>
      </w:r>
      <w:r w:rsidR="00CA1496">
        <w:rPr>
          <w:rFonts w:cs="Times New Roman"/>
        </w:rPr>
        <w:t>β</w:t>
      </w:r>
      <w:r w:rsidR="00CA1496">
        <w:rPr>
          <w:rFonts w:cs="Times New Roman"/>
        </w:rPr>
        <w:t xml:space="preserve">12-28 </w:t>
      </w:r>
      <w:r w:rsidR="00D07829">
        <w:rPr>
          <w:rFonts w:cs="Times New Roman"/>
        </w:rPr>
        <w:t xml:space="preserve">in such a way that </w:t>
      </w:r>
      <w:r w:rsidR="00CA1496">
        <w:rPr>
          <w:rFonts w:cs="Times New Roman"/>
        </w:rPr>
        <w:t>nine</w:t>
      </w:r>
      <w:r w:rsidR="00D07829">
        <w:rPr>
          <w:rFonts w:cs="Times New Roman"/>
        </w:rPr>
        <w:t xml:space="preserve"> possible peptides are produced which range from 6-8 residues in length. As mentioned above, this may lead to suggestions on whether to </w:t>
      </w:r>
      <w:r w:rsidR="00276BC6">
        <w:rPr>
          <w:rFonts w:cs="Times New Roman"/>
        </w:rPr>
        <w:t>focus on using residues from</w:t>
      </w:r>
      <w:r w:rsidR="00CA1496">
        <w:rPr>
          <w:rFonts w:cs="Times New Roman"/>
        </w:rPr>
        <w:t xml:space="preserve"> the C</w:t>
      </w:r>
      <w:r w:rsidR="004A0470">
        <w:rPr>
          <w:rFonts w:cs="Times New Roman"/>
        </w:rPr>
        <w:t xml:space="preserve">-terminal, N-terminal, or middle in future experiments. </w:t>
      </w:r>
    </w:p>
    <w:p w14:paraId="45567B26" w14:textId="77777777" w:rsidR="00D07829" w:rsidRDefault="00D07829">
      <w:pPr>
        <w:rPr>
          <w:rFonts w:cs="Times New Roman"/>
        </w:rPr>
      </w:pPr>
    </w:p>
    <w:p w14:paraId="21BF31CE" w14:textId="77777777" w:rsidR="00BE2A00" w:rsidRDefault="00D07829">
      <w:pPr>
        <w:rPr>
          <w:rFonts w:cs="Times New Roman"/>
        </w:rPr>
      </w:pPr>
      <w:r>
        <w:rPr>
          <w:rFonts w:cs="Times New Roman"/>
        </w:rPr>
        <w:t>T</w:t>
      </w:r>
      <w:r w:rsidR="00D96CE4">
        <w:rPr>
          <w:rFonts w:cs="Times New Roman"/>
        </w:rPr>
        <w:t>his stu</w:t>
      </w:r>
      <w:r>
        <w:rPr>
          <w:rFonts w:cs="Times New Roman"/>
        </w:rPr>
        <w:t>dy is also</w:t>
      </w:r>
      <w:r w:rsidR="00D96CE4">
        <w:rPr>
          <w:rFonts w:cs="Times New Roman"/>
        </w:rPr>
        <w:t xml:space="preserve"> limited to </w:t>
      </w:r>
      <w:r w:rsidR="00D96CE4">
        <w:rPr>
          <w:rFonts w:cs="Times New Roman"/>
          <w:i/>
        </w:rPr>
        <w:t xml:space="preserve">in vitro </w:t>
      </w:r>
      <w:r w:rsidR="00D96CE4">
        <w:rPr>
          <w:rFonts w:cs="Times New Roman"/>
        </w:rPr>
        <w:t xml:space="preserve">analysis. While this allows for controlled interactions between only </w:t>
      </w:r>
      <w:r w:rsidR="00D96CE4">
        <w:t>A</w:t>
      </w:r>
      <w:r w:rsidR="00D96CE4">
        <w:rPr>
          <w:rFonts w:cs="Times New Roman"/>
        </w:rPr>
        <w:t xml:space="preserve">β and APOE, the human body does not control their interactions. There are many complex biological factors that cannot be taken into account </w:t>
      </w:r>
      <w:r w:rsidR="00D96CE4">
        <w:rPr>
          <w:rFonts w:cs="Times New Roman"/>
          <w:i/>
        </w:rPr>
        <w:t>in vitro</w:t>
      </w:r>
      <w:r w:rsidR="00D96CE4">
        <w:rPr>
          <w:rFonts w:cs="Times New Roman"/>
        </w:rPr>
        <w:t xml:space="preserve"> that future studies would need to take into account. The usage of mouse models was utilized in Sadowski et. al (2006) in order to measure the effect of </w:t>
      </w:r>
      <w:r w:rsidR="00D96CE4">
        <w:t>A</w:t>
      </w:r>
      <w:r w:rsidR="00D96CE4">
        <w:rPr>
          <w:rFonts w:cs="Times New Roman"/>
        </w:rPr>
        <w:t xml:space="preserve">β12-28 on </w:t>
      </w:r>
      <w:r w:rsidR="00D96CE4">
        <w:t>A</w:t>
      </w:r>
      <w:r w:rsidR="00D96CE4">
        <w:rPr>
          <w:rFonts w:cs="Times New Roman"/>
        </w:rPr>
        <w:t xml:space="preserve">β aggregations in the brain. If this experiment were to be expanded, a similar set of experiments using mouse models would be done in order to test the capabilities of the peptides </w:t>
      </w:r>
      <w:r w:rsidR="00D96CE4">
        <w:rPr>
          <w:rFonts w:cs="Times New Roman"/>
          <w:i/>
        </w:rPr>
        <w:t>in vivo</w:t>
      </w:r>
      <w:r w:rsidR="00D96CE4">
        <w:rPr>
          <w:rFonts w:cs="Times New Roman"/>
        </w:rPr>
        <w:t xml:space="preserve">. </w:t>
      </w:r>
    </w:p>
    <w:p w14:paraId="3EE66CE0" w14:textId="77777777" w:rsidR="00341504" w:rsidRDefault="00341504">
      <w:pPr>
        <w:rPr>
          <w:rFonts w:cs="Times New Roman"/>
        </w:rPr>
      </w:pPr>
    </w:p>
    <w:p w14:paraId="28EB9A54" w14:textId="68F25AF1" w:rsidR="00341504" w:rsidRDefault="00341504">
      <w:pPr>
        <w:rPr>
          <w:rFonts w:cs="Times New Roman"/>
        </w:rPr>
      </w:pPr>
      <w:r>
        <w:rPr>
          <w:rFonts w:cs="Times New Roman"/>
        </w:rPr>
        <w:t xml:space="preserve">Despite these limitations, finding a way to inhibit the </w:t>
      </w:r>
      <w:r>
        <w:t>A</w:t>
      </w:r>
      <w:r>
        <w:rPr>
          <w:rFonts w:cs="Times New Roman"/>
        </w:rPr>
        <w:t xml:space="preserve">β-APOE binding complex may be a large step in the fight against Alzheimer’s. It is known that APOE promotes aggregation, and it is </w:t>
      </w:r>
      <w:r w:rsidR="00E02D0B">
        <w:rPr>
          <w:rFonts w:cs="Times New Roman"/>
        </w:rPr>
        <w:t>also known that those with the APOE4 variant have a higher risk of developing Alzheimer’s</w:t>
      </w:r>
      <w:r>
        <w:rPr>
          <w:rFonts w:cs="Times New Roman"/>
        </w:rPr>
        <w:t xml:space="preserve">. However, there </w:t>
      </w:r>
      <w:r w:rsidR="00E02D0B">
        <w:rPr>
          <w:rFonts w:cs="Times New Roman"/>
        </w:rPr>
        <w:t xml:space="preserve">currently </w:t>
      </w:r>
      <w:r>
        <w:rPr>
          <w:rFonts w:cs="Times New Roman"/>
        </w:rPr>
        <w:t>exist no treatments that focus on inhibiting this interaction</w:t>
      </w:r>
      <w:r w:rsidR="000005AF">
        <w:rPr>
          <w:rFonts w:cs="Times New Roman"/>
        </w:rPr>
        <w:t xml:space="preserve"> in humans</w:t>
      </w:r>
      <w:r>
        <w:rPr>
          <w:rFonts w:cs="Times New Roman"/>
        </w:rPr>
        <w:t>. By continuing research into effective ways to block this interaction, a large step towards greatly reducing the number of those who suffer from Alzheimer’s</w:t>
      </w:r>
      <w:r w:rsidR="00E02D0B">
        <w:rPr>
          <w:rFonts w:cs="Times New Roman"/>
        </w:rPr>
        <w:t xml:space="preserve"> may be taken</w:t>
      </w:r>
      <w:r>
        <w:rPr>
          <w:rFonts w:cs="Times New Roman"/>
        </w:rPr>
        <w:t xml:space="preserve">. </w:t>
      </w:r>
    </w:p>
    <w:p w14:paraId="718C50E5" w14:textId="77777777" w:rsidR="00D96CE4" w:rsidRPr="00D96CE4" w:rsidRDefault="00D96CE4">
      <w:pPr>
        <w:rPr>
          <w:rFonts w:cs="Times New Roman"/>
        </w:rPr>
      </w:pPr>
    </w:p>
    <w:p w14:paraId="2F084CDD" w14:textId="77777777" w:rsidR="00E53EF9" w:rsidRDefault="00E53EF9" w:rsidP="00EB4EEC">
      <w:pPr>
        <w:jc w:val="center"/>
        <w:rPr>
          <w:b/>
        </w:rPr>
      </w:pPr>
    </w:p>
    <w:p w14:paraId="6C7994DF" w14:textId="77777777" w:rsidR="00E53EF9" w:rsidRDefault="00E53EF9" w:rsidP="00EB4EEC">
      <w:pPr>
        <w:jc w:val="center"/>
        <w:rPr>
          <w:b/>
        </w:rPr>
      </w:pPr>
    </w:p>
    <w:p w14:paraId="0F512002" w14:textId="77777777" w:rsidR="00E53EF9" w:rsidRDefault="00E53EF9" w:rsidP="00EB4EEC">
      <w:pPr>
        <w:jc w:val="center"/>
        <w:rPr>
          <w:b/>
        </w:rPr>
      </w:pPr>
    </w:p>
    <w:p w14:paraId="36459CE8" w14:textId="77777777" w:rsidR="00E53EF9" w:rsidRDefault="00E53EF9" w:rsidP="00680F92">
      <w:pPr>
        <w:rPr>
          <w:b/>
        </w:rPr>
      </w:pPr>
    </w:p>
    <w:p w14:paraId="3497B754" w14:textId="77777777" w:rsidR="00E02D0B" w:rsidRDefault="00E02D0B" w:rsidP="00680F92">
      <w:pPr>
        <w:rPr>
          <w:b/>
        </w:rPr>
      </w:pPr>
    </w:p>
    <w:p w14:paraId="27A14241" w14:textId="77777777" w:rsidR="007333A6" w:rsidRDefault="007333A6" w:rsidP="00680F92">
      <w:pPr>
        <w:rPr>
          <w:b/>
        </w:rPr>
      </w:pPr>
    </w:p>
    <w:p w14:paraId="70778683" w14:textId="77777777" w:rsidR="00EB4EEC" w:rsidRDefault="00EB4EEC" w:rsidP="00EB4EEC">
      <w:pPr>
        <w:jc w:val="center"/>
        <w:rPr>
          <w:b/>
        </w:rPr>
      </w:pPr>
      <w:r w:rsidRPr="00EB4EEC">
        <w:rPr>
          <w:b/>
        </w:rPr>
        <w:lastRenderedPageBreak/>
        <w:t>References</w:t>
      </w:r>
    </w:p>
    <w:p w14:paraId="347033B2" w14:textId="77777777" w:rsidR="00EB4EEC" w:rsidRDefault="00EB4EEC" w:rsidP="00EB4EEC">
      <w:r>
        <w:t xml:space="preserve">1. Alzheimer’s Association. 2016. 2016 Alzheimer’s disease facts and figures. Alzheimer’s &amp; </w:t>
      </w:r>
      <w:r w:rsidR="00364B46">
        <w:t>Dementia: The J</w:t>
      </w:r>
      <w:r>
        <w:t xml:space="preserve">ournal of the Alzheimer’s Association, 12(4): </w:t>
      </w:r>
      <w:r w:rsidR="00364B46">
        <w:t>459-509.</w:t>
      </w:r>
    </w:p>
    <w:p w14:paraId="4F7C00EA" w14:textId="77777777" w:rsidR="00364B46" w:rsidRDefault="00364B46" w:rsidP="00EB4EEC">
      <w:r>
        <w:t>(</w:t>
      </w:r>
      <w:hyperlink r:id="rId11" w:history="1">
        <w:r w:rsidRPr="004D6943">
          <w:rPr>
            <w:rStyle w:val="Hyperlink"/>
          </w:rPr>
          <w:t>https://www.ncbi.nlm.nih.gov/pubmed/27570871#</w:t>
        </w:r>
      </w:hyperlink>
      <w:r>
        <w:t xml:space="preserve">) </w:t>
      </w:r>
    </w:p>
    <w:p w14:paraId="633BF543" w14:textId="77777777" w:rsidR="009C22E0" w:rsidRDefault="009C22E0" w:rsidP="00EB4EEC"/>
    <w:p w14:paraId="0E3CE688" w14:textId="77777777" w:rsidR="009C22E0" w:rsidRDefault="009C22E0" w:rsidP="00EB4EEC">
      <w:r>
        <w:t xml:space="preserve">2. </w:t>
      </w:r>
      <w:r w:rsidRPr="009C22E0">
        <w:t>Kumar,</w:t>
      </w:r>
      <w:r>
        <w:t xml:space="preserve"> A., </w:t>
      </w:r>
      <w:r w:rsidRPr="009C22E0">
        <w:t>Singh,</w:t>
      </w:r>
      <w:r>
        <w:t xml:space="preserve"> A.,</w:t>
      </w:r>
      <w:r w:rsidRPr="009C22E0">
        <w:t xml:space="preserve"> Ekavali</w:t>
      </w:r>
      <w:r>
        <w:t xml:space="preserve">. 2014. A review on Alzheimer’s disease pathophysiology and its management: an update. Pharmacological Reports, 67(2): 195-203. </w:t>
      </w:r>
    </w:p>
    <w:p w14:paraId="5164A50E" w14:textId="77777777" w:rsidR="009C22E0" w:rsidRDefault="009C22E0" w:rsidP="00EB4EEC">
      <w:r>
        <w:t>(</w:t>
      </w:r>
      <w:hyperlink r:id="rId12" w:history="1">
        <w:r w:rsidRPr="004D6943">
          <w:rPr>
            <w:rStyle w:val="Hyperlink"/>
          </w:rPr>
          <w:t>http://www.sciencedirect.com.proxy.library.vcu.edu/science/article/pii/S1734114014002886</w:t>
        </w:r>
      </w:hyperlink>
      <w:r>
        <w:t xml:space="preserve">) </w:t>
      </w:r>
    </w:p>
    <w:p w14:paraId="1D1CE607" w14:textId="77777777" w:rsidR="00BB32DC" w:rsidRDefault="00BB32DC" w:rsidP="00EB4EEC"/>
    <w:p w14:paraId="78B14925" w14:textId="77777777" w:rsidR="00BB32DC" w:rsidRDefault="00BB32DC" w:rsidP="00EB4EEC">
      <w:r>
        <w:t xml:space="preserve">3. </w:t>
      </w:r>
      <w:r w:rsidRPr="00BB32DC">
        <w:t>Barageb,</w:t>
      </w:r>
      <w:r>
        <w:t xml:space="preserve"> S.H., </w:t>
      </w:r>
      <w:r w:rsidRPr="00BB32DC">
        <w:t>Sonawane</w:t>
      </w:r>
      <w:r w:rsidR="00907A95">
        <w:t>, K.D. 2015. Amyloid cascade hypothesis: Pathogenesis and therapeutic strategies in Alzheimer’s disease</w:t>
      </w:r>
      <w:r w:rsidR="00FD750C">
        <w:t>. Neuropeptides</w:t>
      </w:r>
      <w:r w:rsidR="00907A95">
        <w:t xml:space="preserve">, 52: 1-18. </w:t>
      </w:r>
    </w:p>
    <w:p w14:paraId="44500FE5" w14:textId="77777777" w:rsidR="004468BF" w:rsidRDefault="004468BF" w:rsidP="00EB4EEC">
      <w:r>
        <w:t>(</w:t>
      </w:r>
      <w:hyperlink r:id="rId13" w:history="1">
        <w:r w:rsidRPr="004D6943">
          <w:rPr>
            <w:rStyle w:val="Hyperlink"/>
          </w:rPr>
          <w:t>http://www.sciencedirect.com/science/article/pii/S0143417915000657</w:t>
        </w:r>
      </w:hyperlink>
      <w:r>
        <w:t xml:space="preserve">)  </w:t>
      </w:r>
    </w:p>
    <w:p w14:paraId="4E7E9CFB" w14:textId="77777777" w:rsidR="00FD750C" w:rsidRDefault="00FD750C" w:rsidP="00EB4EEC"/>
    <w:p w14:paraId="6A592C63" w14:textId="77777777" w:rsidR="00FD750C" w:rsidRDefault="00FD750C" w:rsidP="00FD750C">
      <w:r>
        <w:t xml:space="preserve">4. Castano, E.M., Prelli, F., Wisniewski, T., Golabek, A., Kumar, R.A., Soto, C., Frangione, B. Fibrillogenesis in Alzheimer's disease of amyloid beta peptides and apolipoprotein E. </w:t>
      </w:r>
      <w:r w:rsidR="004468BF">
        <w:t xml:space="preserve">Biochemical Journal, 306(2): 599-604. </w:t>
      </w:r>
    </w:p>
    <w:p w14:paraId="7A08BEAF" w14:textId="77777777" w:rsidR="004468BF" w:rsidRDefault="004468BF" w:rsidP="00FD750C">
      <w:r>
        <w:t>(</w:t>
      </w:r>
      <w:hyperlink r:id="rId14" w:history="1">
        <w:r w:rsidRPr="004D6943">
          <w:rPr>
            <w:rStyle w:val="Hyperlink"/>
          </w:rPr>
          <w:t>http://www.biochemj.org/content/306/2/599</w:t>
        </w:r>
      </w:hyperlink>
      <w:r>
        <w:t xml:space="preserve">) </w:t>
      </w:r>
    </w:p>
    <w:p w14:paraId="3C882EEB" w14:textId="77777777" w:rsidR="004468BF" w:rsidRDefault="004468BF" w:rsidP="00FD750C"/>
    <w:p w14:paraId="4F7CC436" w14:textId="77777777" w:rsidR="004468BF" w:rsidRDefault="004468BF" w:rsidP="00FD750C">
      <w:pPr>
        <w:rPr>
          <w:rFonts w:cs="Times New Roman"/>
          <w:color w:val="000000"/>
          <w:szCs w:val="24"/>
          <w:shd w:val="clear" w:color="auto" w:fill="FFFFFF"/>
        </w:rPr>
      </w:pPr>
      <w:r>
        <w:t xml:space="preserve">5. </w:t>
      </w:r>
      <w:r w:rsidR="00006FE7" w:rsidRPr="00006FE7">
        <w:rPr>
          <w:rFonts w:cs="Times New Roman"/>
          <w:color w:val="000000"/>
          <w:szCs w:val="24"/>
          <w:shd w:val="clear" w:color="auto" w:fill="FFFFFF"/>
        </w:rPr>
        <w:t>Puglielli, L., Tanzi, R.E.,</w:t>
      </w:r>
      <w:r w:rsidR="00006FE7" w:rsidRPr="00006FE7">
        <w:rPr>
          <w:rStyle w:val="apple-converted-space"/>
          <w:rFonts w:cs="Times New Roman"/>
          <w:color w:val="000000"/>
          <w:szCs w:val="24"/>
          <w:shd w:val="clear" w:color="auto" w:fill="FFFFFF"/>
        </w:rPr>
        <w:t> </w:t>
      </w:r>
      <w:r w:rsidR="00006FE7" w:rsidRPr="00006FE7">
        <w:rPr>
          <w:rFonts w:cs="Times New Roman"/>
          <w:color w:val="000000"/>
          <w:szCs w:val="24"/>
          <w:shd w:val="clear" w:color="auto" w:fill="FFFFFF"/>
        </w:rPr>
        <w:t xml:space="preserve">Kovacs, D.M. 2003. Alzheimer’s disease: the cholesterol connection. Nature Neuroscience, 6: 345-351. </w:t>
      </w:r>
    </w:p>
    <w:p w14:paraId="00803977" w14:textId="77777777" w:rsidR="007E13F5" w:rsidRDefault="007E13F5" w:rsidP="00FD750C">
      <w:pPr>
        <w:rPr>
          <w:rFonts w:cs="Times New Roman"/>
          <w:color w:val="000000"/>
          <w:szCs w:val="24"/>
          <w:shd w:val="clear" w:color="auto" w:fill="FFFFFF"/>
        </w:rPr>
      </w:pPr>
    </w:p>
    <w:p w14:paraId="522948A5" w14:textId="77777777" w:rsidR="00A43680" w:rsidRPr="00A43680" w:rsidRDefault="00A43680" w:rsidP="00FD750C">
      <w:pPr>
        <w:rPr>
          <w:rFonts w:cs="Times New Roman"/>
          <w:color w:val="303030"/>
          <w:szCs w:val="24"/>
          <w:shd w:val="clear" w:color="auto" w:fill="FFFFFF"/>
        </w:rPr>
      </w:pPr>
      <w:r>
        <w:rPr>
          <w:rFonts w:cs="Times New Roman"/>
          <w:color w:val="000000"/>
          <w:szCs w:val="24"/>
          <w:shd w:val="clear" w:color="auto" w:fill="FFFFFF"/>
        </w:rPr>
        <w:t xml:space="preserve">6. </w:t>
      </w:r>
      <w:r w:rsidRPr="00A43680">
        <w:rPr>
          <w:rFonts w:cs="Times New Roman"/>
          <w:color w:val="303030"/>
          <w:szCs w:val="24"/>
          <w:shd w:val="clear" w:color="auto" w:fill="FFFFFF"/>
        </w:rPr>
        <w:t xml:space="preserve">Garai, K., Verghese, P. B., Baban, B., </w:t>
      </w:r>
      <w:r w:rsidR="007E13F5">
        <w:rPr>
          <w:rFonts w:cs="Times New Roman"/>
          <w:color w:val="303030"/>
          <w:szCs w:val="24"/>
          <w:shd w:val="clear" w:color="auto" w:fill="FFFFFF"/>
        </w:rPr>
        <w:t>Holtzman, D. M., &amp; Frieden, C. 2014</w:t>
      </w:r>
      <w:r w:rsidRPr="00A43680">
        <w:rPr>
          <w:rFonts w:cs="Times New Roman"/>
          <w:color w:val="303030"/>
          <w:szCs w:val="24"/>
          <w:shd w:val="clear" w:color="auto" w:fill="FFFFFF"/>
        </w:rPr>
        <w:t>. The Binding of Apolipoprotein E to Oligomers and Fibrils of Amyloid-β Alters the Kinetics of Amyloid Aggregation.</w:t>
      </w:r>
      <w:r w:rsidRPr="00A43680">
        <w:rPr>
          <w:rStyle w:val="apple-converted-space"/>
          <w:rFonts w:cs="Times New Roman"/>
          <w:color w:val="303030"/>
          <w:szCs w:val="24"/>
          <w:shd w:val="clear" w:color="auto" w:fill="FFFFFF"/>
        </w:rPr>
        <w:t> </w:t>
      </w:r>
      <w:r w:rsidRPr="00A43680">
        <w:rPr>
          <w:rFonts w:cs="Times New Roman"/>
          <w:iCs/>
          <w:color w:val="303030"/>
          <w:szCs w:val="24"/>
          <w:shd w:val="clear" w:color="auto" w:fill="FFFFFF"/>
        </w:rPr>
        <w:t>Biochemistry</w:t>
      </w:r>
      <w:r w:rsidRPr="00A43680">
        <w:rPr>
          <w:rFonts w:cs="Times New Roman"/>
          <w:color w:val="303030"/>
          <w:szCs w:val="24"/>
          <w:shd w:val="clear" w:color="auto" w:fill="FFFFFF"/>
        </w:rPr>
        <w:t>,</w:t>
      </w:r>
      <w:r w:rsidRPr="00A43680">
        <w:rPr>
          <w:rStyle w:val="apple-converted-space"/>
          <w:rFonts w:cs="Times New Roman"/>
          <w:color w:val="303030"/>
          <w:szCs w:val="24"/>
          <w:shd w:val="clear" w:color="auto" w:fill="FFFFFF"/>
        </w:rPr>
        <w:t> </w:t>
      </w:r>
      <w:r w:rsidRPr="00A43680">
        <w:rPr>
          <w:rFonts w:cs="Times New Roman"/>
          <w:iCs/>
          <w:color w:val="303030"/>
          <w:szCs w:val="24"/>
          <w:shd w:val="clear" w:color="auto" w:fill="FFFFFF"/>
        </w:rPr>
        <w:t>53</w:t>
      </w:r>
      <w:r w:rsidRPr="00A43680">
        <w:rPr>
          <w:rFonts w:cs="Times New Roman"/>
          <w:color w:val="303030"/>
          <w:szCs w:val="24"/>
          <w:shd w:val="clear" w:color="auto" w:fill="FFFFFF"/>
        </w:rPr>
        <w:t>(40), 6323–6331.</w:t>
      </w:r>
    </w:p>
    <w:p w14:paraId="14D4C78C" w14:textId="77777777" w:rsidR="00A43680" w:rsidRDefault="00A43680" w:rsidP="00FD750C">
      <w:pPr>
        <w:rPr>
          <w:rFonts w:cs="Times New Roman"/>
          <w:color w:val="303030"/>
          <w:szCs w:val="24"/>
          <w:shd w:val="clear" w:color="auto" w:fill="FFFFFF"/>
        </w:rPr>
      </w:pPr>
      <w:r w:rsidRPr="00A43680">
        <w:rPr>
          <w:rFonts w:cs="Times New Roman"/>
          <w:color w:val="303030"/>
          <w:szCs w:val="24"/>
          <w:shd w:val="clear" w:color="auto" w:fill="FFFFFF"/>
        </w:rPr>
        <w:t>(</w:t>
      </w:r>
      <w:hyperlink r:id="rId15" w:history="1">
        <w:r w:rsidRPr="00A43680">
          <w:rPr>
            <w:rStyle w:val="Hyperlink"/>
            <w:rFonts w:cs="Times New Roman"/>
            <w:szCs w:val="24"/>
            <w:shd w:val="clear" w:color="auto" w:fill="FFFFFF"/>
          </w:rPr>
          <w:t>https://www.ncbi.nlm.nih.gov/pmc/articles/PMC4196732/</w:t>
        </w:r>
      </w:hyperlink>
      <w:r w:rsidRPr="00A43680">
        <w:rPr>
          <w:rFonts w:cs="Times New Roman"/>
          <w:color w:val="303030"/>
          <w:szCs w:val="24"/>
          <w:shd w:val="clear" w:color="auto" w:fill="FFFFFF"/>
        </w:rPr>
        <w:t xml:space="preserve">) </w:t>
      </w:r>
    </w:p>
    <w:p w14:paraId="41F8107D" w14:textId="77777777" w:rsidR="00D019BA" w:rsidRDefault="00D019BA" w:rsidP="00FD750C">
      <w:pPr>
        <w:rPr>
          <w:rFonts w:cs="Times New Roman"/>
          <w:color w:val="303030"/>
          <w:szCs w:val="24"/>
          <w:shd w:val="clear" w:color="auto" w:fill="FFFFFF"/>
        </w:rPr>
      </w:pPr>
    </w:p>
    <w:p w14:paraId="649D61F3" w14:textId="77777777" w:rsidR="00D019BA" w:rsidRDefault="00D019BA" w:rsidP="00D019BA">
      <w:pPr>
        <w:rPr>
          <w:rFonts w:cs="Times New Roman"/>
          <w:color w:val="303030"/>
          <w:sz w:val="23"/>
          <w:szCs w:val="23"/>
          <w:shd w:val="clear" w:color="auto" w:fill="FFFFFF"/>
        </w:rPr>
      </w:pPr>
      <w:r>
        <w:rPr>
          <w:rFonts w:cs="Times New Roman"/>
          <w:color w:val="303030"/>
          <w:szCs w:val="24"/>
          <w:shd w:val="clear" w:color="auto" w:fill="FFFFFF"/>
        </w:rPr>
        <w:t xml:space="preserve">7. </w:t>
      </w:r>
      <w:r w:rsidRPr="00D466C9">
        <w:rPr>
          <w:rFonts w:cs="Times New Roman"/>
          <w:color w:val="303030"/>
          <w:sz w:val="23"/>
          <w:szCs w:val="23"/>
          <w:shd w:val="clear" w:color="auto" w:fill="FFFFFF"/>
        </w:rPr>
        <w:t>Sadowski, M. J., Pankiewicz, J., Scholtzova, H., Mehta, P. D., Prelli, F., Quartermain, D., &amp; Wisniewski, T. (2006).</w:t>
      </w:r>
      <w:r w:rsidR="004619CE">
        <w:rPr>
          <w:rFonts w:cs="Times New Roman"/>
          <w:color w:val="303030"/>
          <w:sz w:val="23"/>
          <w:szCs w:val="23"/>
          <w:shd w:val="clear" w:color="auto" w:fill="FFFFFF"/>
        </w:rPr>
        <w:t xml:space="preserve"> </w:t>
      </w:r>
      <w:r w:rsidR="004619CE" w:rsidRPr="004619CE">
        <w:rPr>
          <w:rFonts w:cs="Times New Roman"/>
          <w:color w:val="303030"/>
          <w:sz w:val="23"/>
          <w:szCs w:val="23"/>
          <w:shd w:val="clear" w:color="auto" w:fill="FFFFFF"/>
        </w:rPr>
        <w:t>Blocking the apolipoprotein E/amyloid-β interaction as a potential therapeutic approach for Alzheimer's disease</w:t>
      </w:r>
      <w:r w:rsidR="004619CE">
        <w:rPr>
          <w:rFonts w:cs="Times New Roman"/>
          <w:color w:val="303030"/>
          <w:sz w:val="23"/>
          <w:szCs w:val="23"/>
          <w:shd w:val="clear" w:color="auto" w:fill="FFFFFF"/>
        </w:rPr>
        <w:t>.</w:t>
      </w:r>
      <w:r w:rsidRPr="00D466C9">
        <w:rPr>
          <w:rFonts w:cs="Times New Roman"/>
          <w:color w:val="303030"/>
          <w:sz w:val="23"/>
          <w:szCs w:val="23"/>
          <w:shd w:val="clear" w:color="auto" w:fill="FFFFFF"/>
        </w:rPr>
        <w:t xml:space="preserve"> </w:t>
      </w:r>
      <w:r w:rsidRPr="00D019BA">
        <w:rPr>
          <w:rFonts w:cs="Times New Roman"/>
          <w:iCs/>
          <w:color w:val="303030"/>
          <w:sz w:val="23"/>
          <w:szCs w:val="23"/>
          <w:shd w:val="clear" w:color="auto" w:fill="FFFFFF"/>
        </w:rPr>
        <w:t>Proceedings of the National Academy of Sciences of the United States of America</w:t>
      </w:r>
      <w:r w:rsidRPr="00D019BA">
        <w:rPr>
          <w:rFonts w:cs="Times New Roman"/>
          <w:color w:val="303030"/>
          <w:sz w:val="23"/>
          <w:szCs w:val="23"/>
          <w:shd w:val="clear" w:color="auto" w:fill="FFFFFF"/>
        </w:rPr>
        <w:t>,</w:t>
      </w:r>
      <w:r w:rsidRPr="00D019BA">
        <w:rPr>
          <w:rStyle w:val="apple-converted-space"/>
          <w:rFonts w:cs="Times New Roman"/>
          <w:color w:val="303030"/>
          <w:sz w:val="23"/>
          <w:szCs w:val="23"/>
          <w:shd w:val="clear" w:color="auto" w:fill="FFFFFF"/>
        </w:rPr>
        <w:t> </w:t>
      </w:r>
      <w:r w:rsidRPr="00D019BA">
        <w:rPr>
          <w:rFonts w:cs="Times New Roman"/>
          <w:iCs/>
          <w:color w:val="303030"/>
          <w:sz w:val="23"/>
          <w:szCs w:val="23"/>
          <w:shd w:val="clear" w:color="auto" w:fill="FFFFFF"/>
        </w:rPr>
        <w:t>103</w:t>
      </w:r>
      <w:r w:rsidRPr="00D466C9">
        <w:rPr>
          <w:rFonts w:cs="Times New Roman"/>
          <w:color w:val="303030"/>
          <w:sz w:val="23"/>
          <w:szCs w:val="23"/>
          <w:shd w:val="clear" w:color="auto" w:fill="FFFFFF"/>
        </w:rPr>
        <w:t>(49), 18787–18792.</w:t>
      </w:r>
    </w:p>
    <w:p w14:paraId="04C39F9E" w14:textId="77777777" w:rsidR="00CD7F47" w:rsidRDefault="00CD7F47" w:rsidP="00D019BA">
      <w:pPr>
        <w:rPr>
          <w:rFonts w:cs="Times New Roman"/>
          <w:color w:val="303030"/>
          <w:sz w:val="23"/>
          <w:szCs w:val="23"/>
          <w:shd w:val="clear" w:color="auto" w:fill="FFFFFF"/>
        </w:rPr>
      </w:pPr>
      <w:r>
        <w:rPr>
          <w:rFonts w:cs="Times New Roman"/>
          <w:color w:val="303030"/>
          <w:sz w:val="23"/>
          <w:szCs w:val="23"/>
          <w:shd w:val="clear" w:color="auto" w:fill="FFFFFF"/>
        </w:rPr>
        <w:t>(</w:t>
      </w:r>
      <w:hyperlink r:id="rId16" w:history="1">
        <w:r w:rsidRPr="004D6943">
          <w:rPr>
            <w:rStyle w:val="Hyperlink"/>
            <w:rFonts w:cs="Times New Roman"/>
            <w:sz w:val="23"/>
            <w:szCs w:val="23"/>
            <w:shd w:val="clear" w:color="auto" w:fill="FFFFFF"/>
          </w:rPr>
          <w:t>http://www.pnas.org/content/103/49/18787.full</w:t>
        </w:r>
      </w:hyperlink>
      <w:r>
        <w:rPr>
          <w:rFonts w:cs="Times New Roman"/>
          <w:color w:val="303030"/>
          <w:sz w:val="23"/>
          <w:szCs w:val="23"/>
          <w:shd w:val="clear" w:color="auto" w:fill="FFFFFF"/>
        </w:rPr>
        <w:t xml:space="preserve">) </w:t>
      </w:r>
    </w:p>
    <w:p w14:paraId="5FCF18EF" w14:textId="77777777" w:rsidR="00CD7F47" w:rsidRDefault="00CD7F47" w:rsidP="00D019BA">
      <w:pPr>
        <w:rPr>
          <w:rFonts w:cs="Times New Roman"/>
          <w:color w:val="303030"/>
          <w:sz w:val="23"/>
          <w:szCs w:val="23"/>
          <w:shd w:val="clear" w:color="auto" w:fill="FFFFFF"/>
        </w:rPr>
      </w:pPr>
    </w:p>
    <w:p w14:paraId="26FC6CEE" w14:textId="77777777" w:rsidR="00CD7F47" w:rsidRDefault="00CD7F47" w:rsidP="00D019BA">
      <w:pPr>
        <w:rPr>
          <w:rFonts w:cs="Times New Roman"/>
          <w:color w:val="222222"/>
          <w:shd w:val="clear" w:color="auto" w:fill="FFFFFF"/>
        </w:rPr>
      </w:pPr>
      <w:r>
        <w:rPr>
          <w:rFonts w:cs="Times New Roman"/>
          <w:color w:val="303030"/>
          <w:sz w:val="23"/>
          <w:szCs w:val="23"/>
          <w:shd w:val="clear" w:color="auto" w:fill="FFFFFF"/>
        </w:rPr>
        <w:t xml:space="preserve">8. </w:t>
      </w:r>
      <w:r w:rsidRPr="00CD7F47">
        <w:rPr>
          <w:rFonts w:cs="Times New Roman"/>
          <w:color w:val="222222"/>
          <w:shd w:val="clear" w:color="auto" w:fill="FFFFFF"/>
        </w:rPr>
        <w:t>Hardy, J., &amp; Higgins, G. (1992). Alzheimer's Disease: The Amyloid Cascade Hypothesis.</w:t>
      </w:r>
      <w:r w:rsidRPr="00CD7F47">
        <w:rPr>
          <w:rStyle w:val="apple-converted-space"/>
          <w:rFonts w:cs="Times New Roman"/>
          <w:color w:val="222222"/>
          <w:shd w:val="clear" w:color="auto" w:fill="FFFFFF"/>
        </w:rPr>
        <w:t> </w:t>
      </w:r>
      <w:r w:rsidRPr="00CD7F47">
        <w:rPr>
          <w:rFonts w:cs="Times New Roman"/>
          <w:i/>
          <w:iCs/>
          <w:color w:val="222222"/>
          <w:shd w:val="clear" w:color="auto" w:fill="FFFFFF"/>
        </w:rPr>
        <w:t>Science,</w:t>
      </w:r>
      <w:r w:rsidR="00582689">
        <w:rPr>
          <w:rFonts w:cs="Times New Roman"/>
          <w:i/>
          <w:iCs/>
          <w:color w:val="222222"/>
          <w:shd w:val="clear" w:color="auto" w:fill="FFFFFF"/>
        </w:rPr>
        <w:t xml:space="preserve"> </w:t>
      </w:r>
      <w:r w:rsidRPr="00CD7F47">
        <w:rPr>
          <w:rFonts w:cs="Times New Roman"/>
          <w:i/>
          <w:iCs/>
          <w:color w:val="222222"/>
          <w:shd w:val="clear" w:color="auto" w:fill="FFFFFF"/>
        </w:rPr>
        <w:t>256</w:t>
      </w:r>
      <w:r w:rsidRPr="00CD7F47">
        <w:rPr>
          <w:rFonts w:cs="Times New Roman"/>
          <w:color w:val="222222"/>
          <w:shd w:val="clear" w:color="auto" w:fill="FFFFFF"/>
        </w:rPr>
        <w:t xml:space="preserve">(5054), 184-185. </w:t>
      </w:r>
    </w:p>
    <w:p w14:paraId="3CEBB3B6" w14:textId="77777777" w:rsidR="00CD7F47" w:rsidRDefault="00CD7F47" w:rsidP="00D019BA">
      <w:pPr>
        <w:rPr>
          <w:rFonts w:cs="Times New Roman"/>
          <w:color w:val="222222"/>
          <w:shd w:val="clear" w:color="auto" w:fill="FFFFFF"/>
        </w:rPr>
      </w:pPr>
      <w:r>
        <w:rPr>
          <w:rFonts w:cs="Times New Roman"/>
          <w:color w:val="222222"/>
          <w:shd w:val="clear" w:color="auto" w:fill="FFFFFF"/>
        </w:rPr>
        <w:t>(</w:t>
      </w:r>
      <w:r w:rsidRPr="00CD7F47">
        <w:rPr>
          <w:rFonts w:cs="Times New Roman"/>
          <w:color w:val="222222"/>
          <w:shd w:val="clear" w:color="auto" w:fill="FFFFFF"/>
        </w:rPr>
        <w:t>http://www.jstor.org /stable/2876981</w:t>
      </w:r>
      <w:r>
        <w:rPr>
          <w:rFonts w:cs="Times New Roman"/>
          <w:color w:val="222222"/>
          <w:shd w:val="clear" w:color="auto" w:fill="FFFFFF"/>
        </w:rPr>
        <w:t xml:space="preserve">) </w:t>
      </w:r>
    </w:p>
    <w:p w14:paraId="395A315F" w14:textId="77777777" w:rsidR="005B7476" w:rsidRDefault="005B7476" w:rsidP="00D019BA">
      <w:pPr>
        <w:rPr>
          <w:rFonts w:cs="Times New Roman"/>
          <w:color w:val="222222"/>
          <w:shd w:val="clear" w:color="auto" w:fill="FFFFFF"/>
        </w:rPr>
      </w:pPr>
    </w:p>
    <w:p w14:paraId="5424E4B3" w14:textId="77777777" w:rsidR="005B7476" w:rsidRDefault="005B7476" w:rsidP="00D019BA">
      <w:pPr>
        <w:rPr>
          <w:rFonts w:cs="Times New Roman"/>
          <w:color w:val="303030"/>
          <w:szCs w:val="24"/>
          <w:shd w:val="clear" w:color="auto" w:fill="FFFFFF"/>
        </w:rPr>
      </w:pPr>
      <w:r>
        <w:rPr>
          <w:rFonts w:cs="Times New Roman"/>
          <w:color w:val="222222"/>
          <w:shd w:val="clear" w:color="auto" w:fill="FFFFFF"/>
        </w:rPr>
        <w:t xml:space="preserve">9. </w:t>
      </w:r>
      <w:r w:rsidRPr="005B7476">
        <w:rPr>
          <w:rFonts w:cs="Times New Roman"/>
          <w:color w:val="303030"/>
          <w:szCs w:val="24"/>
          <w:shd w:val="clear" w:color="auto" w:fill="FFFFFF"/>
        </w:rPr>
        <w:t>Marsden, I. T., Minamide, L. S., &amp; Bamburg, J. R. (2011). Amyloid-β-induced amyloid-β secretion: A possible feed-forward mechanism in Alzheimer disease.</w:t>
      </w:r>
      <w:r w:rsidRPr="005B7476">
        <w:rPr>
          <w:rStyle w:val="apple-converted-space"/>
          <w:rFonts w:cs="Times New Roman"/>
          <w:color w:val="303030"/>
          <w:szCs w:val="24"/>
          <w:shd w:val="clear" w:color="auto" w:fill="FFFFFF"/>
        </w:rPr>
        <w:t> </w:t>
      </w:r>
      <w:r w:rsidRPr="005B7476">
        <w:rPr>
          <w:rFonts w:cs="Times New Roman"/>
          <w:iCs/>
          <w:color w:val="303030"/>
          <w:szCs w:val="24"/>
          <w:shd w:val="clear" w:color="auto" w:fill="FFFFFF"/>
        </w:rPr>
        <w:t>Journal of Alzheimer’s Disease : JAD</w:t>
      </w:r>
      <w:r w:rsidRPr="005B7476">
        <w:rPr>
          <w:rFonts w:cs="Times New Roman"/>
          <w:color w:val="303030"/>
          <w:szCs w:val="24"/>
          <w:shd w:val="clear" w:color="auto" w:fill="FFFFFF"/>
        </w:rPr>
        <w:t>,</w:t>
      </w:r>
      <w:r w:rsidRPr="005B7476">
        <w:rPr>
          <w:rStyle w:val="apple-converted-space"/>
          <w:rFonts w:cs="Times New Roman"/>
          <w:color w:val="303030"/>
          <w:szCs w:val="24"/>
          <w:shd w:val="clear" w:color="auto" w:fill="FFFFFF"/>
        </w:rPr>
        <w:t> </w:t>
      </w:r>
      <w:r w:rsidRPr="005B7476">
        <w:rPr>
          <w:rFonts w:cs="Times New Roman"/>
          <w:iCs/>
          <w:color w:val="303030"/>
          <w:szCs w:val="24"/>
          <w:shd w:val="clear" w:color="auto" w:fill="FFFFFF"/>
        </w:rPr>
        <w:t>24</w:t>
      </w:r>
      <w:r w:rsidRPr="005B7476">
        <w:rPr>
          <w:rFonts w:cs="Times New Roman"/>
          <w:color w:val="303030"/>
          <w:szCs w:val="24"/>
          <w:shd w:val="clear" w:color="auto" w:fill="FFFFFF"/>
        </w:rPr>
        <w:t xml:space="preserve">(4), 681–691. </w:t>
      </w:r>
    </w:p>
    <w:p w14:paraId="2666830B" w14:textId="77777777" w:rsidR="00CB1CCD" w:rsidRDefault="00324470" w:rsidP="00D019BA">
      <w:pPr>
        <w:rPr>
          <w:rFonts w:cs="Times New Roman"/>
          <w:color w:val="303030"/>
          <w:szCs w:val="24"/>
          <w:shd w:val="clear" w:color="auto" w:fill="FFFFFF"/>
        </w:rPr>
      </w:pPr>
      <w:r>
        <w:rPr>
          <w:rFonts w:cs="Times New Roman"/>
          <w:color w:val="303030"/>
          <w:szCs w:val="24"/>
          <w:shd w:val="clear" w:color="auto" w:fill="FFFFFF"/>
        </w:rPr>
        <w:t>(</w:t>
      </w:r>
      <w:hyperlink r:id="rId17" w:history="1">
        <w:r w:rsidRPr="004D6943">
          <w:rPr>
            <w:rStyle w:val="Hyperlink"/>
            <w:rFonts w:cs="Times New Roman"/>
            <w:szCs w:val="24"/>
            <w:shd w:val="clear" w:color="auto" w:fill="FFFFFF"/>
          </w:rPr>
          <w:t>https://www.ncbi.nlm.nih.gov/pmc/articles/PMC4447202/</w:t>
        </w:r>
      </w:hyperlink>
      <w:r>
        <w:rPr>
          <w:rFonts w:cs="Times New Roman"/>
          <w:color w:val="303030"/>
          <w:szCs w:val="24"/>
          <w:shd w:val="clear" w:color="auto" w:fill="FFFFFF"/>
        </w:rPr>
        <w:t>)</w:t>
      </w:r>
    </w:p>
    <w:p w14:paraId="45BDF292" w14:textId="77777777" w:rsidR="00651755" w:rsidRDefault="00651755" w:rsidP="00D019BA">
      <w:pPr>
        <w:rPr>
          <w:rFonts w:cs="Times New Roman"/>
          <w:color w:val="303030"/>
          <w:szCs w:val="24"/>
          <w:shd w:val="clear" w:color="auto" w:fill="FFFFFF"/>
        </w:rPr>
      </w:pPr>
    </w:p>
    <w:p w14:paraId="230FA003" w14:textId="77777777" w:rsidR="00324470" w:rsidRDefault="00CB1CCD" w:rsidP="00D019BA">
      <w:pPr>
        <w:rPr>
          <w:rFonts w:cs="Times New Roman"/>
          <w:color w:val="303030"/>
          <w:sz w:val="32"/>
          <w:szCs w:val="24"/>
          <w:shd w:val="clear" w:color="auto" w:fill="FFFFFF"/>
        </w:rPr>
      </w:pPr>
      <w:r>
        <w:rPr>
          <w:rFonts w:cs="Times New Roman"/>
          <w:color w:val="303030"/>
          <w:szCs w:val="24"/>
          <w:shd w:val="clear" w:color="auto" w:fill="FFFFFF"/>
        </w:rPr>
        <w:t xml:space="preserve">10. </w:t>
      </w:r>
      <w:r w:rsidRPr="00CB1CCD">
        <w:rPr>
          <w:rFonts w:cs="Times New Roman"/>
          <w:color w:val="303030"/>
          <w:szCs w:val="20"/>
          <w:shd w:val="clear" w:color="auto" w:fill="FFFFFF"/>
        </w:rPr>
        <w:t xml:space="preserve">Strittmatter, W. J., Weisgraber, K. H., Huang, D. Y., Dong, L. M., Salvesen, G. S., Pericak-Vance, M., … Roses, A. D. (1993). Binding of human apolipoprotein E to synthetic amyloid beta </w:t>
      </w:r>
      <w:r w:rsidRPr="00CB1CCD">
        <w:rPr>
          <w:rFonts w:cs="Times New Roman"/>
          <w:color w:val="303030"/>
          <w:szCs w:val="20"/>
          <w:shd w:val="clear" w:color="auto" w:fill="FFFFFF"/>
        </w:rPr>
        <w:lastRenderedPageBreak/>
        <w:t>peptide: isoform-specific effects and implications for late-onset Alzheimer disease.</w:t>
      </w:r>
      <w:r w:rsidRPr="00CB1CCD">
        <w:rPr>
          <w:rStyle w:val="apple-converted-space"/>
          <w:rFonts w:cs="Times New Roman"/>
          <w:color w:val="303030"/>
          <w:szCs w:val="20"/>
          <w:shd w:val="clear" w:color="auto" w:fill="FFFFFF"/>
        </w:rPr>
        <w:t> </w:t>
      </w:r>
      <w:r w:rsidRPr="00CB1CCD">
        <w:rPr>
          <w:rFonts w:cs="Times New Roman"/>
          <w:iCs/>
          <w:color w:val="303030"/>
          <w:szCs w:val="20"/>
          <w:shd w:val="clear" w:color="auto" w:fill="FFFFFF"/>
        </w:rPr>
        <w:t>Proceedings of the National Academy of Sciences of the United States of America</w:t>
      </w:r>
      <w:r w:rsidRPr="00CB1CCD">
        <w:rPr>
          <w:rFonts w:cs="Times New Roman"/>
          <w:color w:val="303030"/>
          <w:szCs w:val="20"/>
          <w:shd w:val="clear" w:color="auto" w:fill="FFFFFF"/>
        </w:rPr>
        <w:t>,</w:t>
      </w:r>
      <w:r w:rsidRPr="00CB1CCD">
        <w:rPr>
          <w:rStyle w:val="apple-converted-space"/>
          <w:rFonts w:cs="Times New Roman"/>
          <w:color w:val="303030"/>
          <w:szCs w:val="20"/>
          <w:shd w:val="clear" w:color="auto" w:fill="FFFFFF"/>
        </w:rPr>
        <w:t> </w:t>
      </w:r>
      <w:r w:rsidRPr="00CB1CCD">
        <w:rPr>
          <w:rFonts w:cs="Times New Roman"/>
          <w:iCs/>
          <w:color w:val="303030"/>
          <w:szCs w:val="20"/>
          <w:shd w:val="clear" w:color="auto" w:fill="FFFFFF"/>
        </w:rPr>
        <w:t>90</w:t>
      </w:r>
      <w:r w:rsidRPr="00CB1CCD">
        <w:rPr>
          <w:rFonts w:cs="Times New Roman"/>
          <w:color w:val="303030"/>
          <w:szCs w:val="20"/>
          <w:shd w:val="clear" w:color="auto" w:fill="FFFFFF"/>
        </w:rPr>
        <w:t>(17), 8098–8102.</w:t>
      </w:r>
    </w:p>
    <w:p w14:paraId="297A45D1" w14:textId="77777777" w:rsidR="00CB1CCD" w:rsidRPr="00CB1CCD" w:rsidRDefault="00CB1CCD" w:rsidP="00D019BA">
      <w:pPr>
        <w:rPr>
          <w:rFonts w:cs="Times New Roman"/>
          <w:color w:val="303030"/>
          <w:szCs w:val="24"/>
          <w:shd w:val="clear" w:color="auto" w:fill="FFFFFF"/>
        </w:rPr>
      </w:pPr>
      <w:r w:rsidRPr="00CB1CCD">
        <w:rPr>
          <w:rFonts w:cs="Times New Roman"/>
          <w:color w:val="303030"/>
          <w:szCs w:val="24"/>
          <w:shd w:val="clear" w:color="auto" w:fill="FFFFFF"/>
        </w:rPr>
        <w:t>(</w:t>
      </w:r>
      <w:hyperlink r:id="rId18" w:history="1">
        <w:r w:rsidRPr="00CB1CCD">
          <w:rPr>
            <w:rStyle w:val="Hyperlink"/>
            <w:rFonts w:cs="Times New Roman"/>
            <w:szCs w:val="24"/>
            <w:shd w:val="clear" w:color="auto" w:fill="FFFFFF"/>
          </w:rPr>
          <w:t>https://www.ncbi.nlm.nih.gov/pmc/articles/PMC47295/</w:t>
        </w:r>
      </w:hyperlink>
      <w:r w:rsidRPr="00CB1CCD">
        <w:rPr>
          <w:rFonts w:cs="Times New Roman"/>
          <w:color w:val="303030"/>
          <w:szCs w:val="24"/>
          <w:shd w:val="clear" w:color="auto" w:fill="FFFFFF"/>
        </w:rPr>
        <w:t xml:space="preserve">) </w:t>
      </w:r>
    </w:p>
    <w:p w14:paraId="52D53BA4" w14:textId="77777777" w:rsidR="00CB1CCD" w:rsidRDefault="00CB1CCD" w:rsidP="00D019BA">
      <w:pPr>
        <w:rPr>
          <w:rFonts w:cs="Times New Roman"/>
          <w:color w:val="303030"/>
          <w:sz w:val="32"/>
          <w:szCs w:val="24"/>
          <w:shd w:val="clear" w:color="auto" w:fill="FFFFFF"/>
        </w:rPr>
      </w:pPr>
    </w:p>
    <w:p w14:paraId="595DDED0" w14:textId="77777777" w:rsidR="00CB1CCD" w:rsidRPr="00CB1CCD" w:rsidRDefault="00CB1CCD" w:rsidP="00D019BA">
      <w:pPr>
        <w:rPr>
          <w:rFonts w:cs="Times New Roman"/>
          <w:color w:val="303030"/>
          <w:szCs w:val="24"/>
          <w:shd w:val="clear" w:color="auto" w:fill="FFFFFF"/>
        </w:rPr>
      </w:pPr>
      <w:r w:rsidRPr="00CB1CCD">
        <w:rPr>
          <w:rFonts w:cs="Times New Roman"/>
          <w:color w:val="2D2C2C"/>
          <w:szCs w:val="24"/>
          <w:shd w:val="clear" w:color="auto" w:fill="FFFFFF"/>
        </w:rPr>
        <w:t>11. Adessi, C.; Soto, C.</w:t>
      </w:r>
      <w:r>
        <w:rPr>
          <w:rFonts w:cs="Times New Roman"/>
          <w:color w:val="2D2C2C"/>
          <w:szCs w:val="24"/>
          <w:shd w:val="clear" w:color="auto" w:fill="FFFFFF"/>
        </w:rPr>
        <w:t xml:space="preserve"> 2002. Converting a Peptide into a Drug: Strategies to Improve Stability and Bioavailability. Current Medicinal Chemistry, 9(9): 963-978. </w:t>
      </w:r>
      <w:r>
        <w:rPr>
          <w:rFonts w:cs="Times New Roman"/>
          <w:color w:val="2D2C2C"/>
          <w:szCs w:val="24"/>
          <w:shd w:val="clear" w:color="auto" w:fill="FFFFFF"/>
        </w:rPr>
        <w:br/>
        <w:t>(</w:t>
      </w:r>
      <w:hyperlink r:id="rId19" w:history="1">
        <w:r w:rsidRPr="004D6943">
          <w:rPr>
            <w:rStyle w:val="Hyperlink"/>
            <w:rFonts w:cs="Times New Roman"/>
            <w:szCs w:val="24"/>
            <w:shd w:val="clear" w:color="auto" w:fill="FFFFFF"/>
          </w:rPr>
          <w:t>http://www.ingentaconnect.com/contentone/ben/cmc/2002/00000009/00000009/art00005</w:t>
        </w:r>
      </w:hyperlink>
      <w:r>
        <w:rPr>
          <w:rFonts w:cs="Times New Roman"/>
          <w:color w:val="2D2C2C"/>
          <w:szCs w:val="24"/>
          <w:shd w:val="clear" w:color="auto" w:fill="FFFFFF"/>
        </w:rPr>
        <w:t xml:space="preserve">) </w:t>
      </w:r>
    </w:p>
    <w:p w14:paraId="0139C269" w14:textId="77777777" w:rsidR="00D019BA" w:rsidRDefault="00D019BA" w:rsidP="00FD750C">
      <w:pPr>
        <w:rPr>
          <w:rFonts w:cs="Times New Roman"/>
          <w:szCs w:val="24"/>
        </w:rPr>
      </w:pPr>
    </w:p>
    <w:p w14:paraId="1FE3D864" w14:textId="77777777" w:rsidR="00041AB3" w:rsidRDefault="00041AB3" w:rsidP="00FD750C">
      <w:pPr>
        <w:rPr>
          <w:rFonts w:cs="Times New Roman"/>
          <w:szCs w:val="24"/>
        </w:rPr>
      </w:pPr>
      <w:r>
        <w:rPr>
          <w:rFonts w:cs="Times New Roman"/>
          <w:szCs w:val="24"/>
        </w:rPr>
        <w:t xml:space="preserve">12. Biancalanaa, M., </w:t>
      </w:r>
      <w:r w:rsidRPr="00041AB3">
        <w:rPr>
          <w:rFonts w:cs="Times New Roman"/>
          <w:szCs w:val="24"/>
        </w:rPr>
        <w:t>Koide</w:t>
      </w:r>
      <w:r>
        <w:rPr>
          <w:rFonts w:cs="Times New Roman"/>
          <w:szCs w:val="24"/>
        </w:rPr>
        <w:t>, S. Molecular mechanism of Thioflavin-T binding to amyloid fibrils. Biochimica et Biophysica Acta – Proteins and Proteomics, 1804(7): 1405-1412.</w:t>
      </w:r>
    </w:p>
    <w:p w14:paraId="02F1282F" w14:textId="77777777" w:rsidR="00041AB3" w:rsidRDefault="00041AB3" w:rsidP="00FD750C">
      <w:pPr>
        <w:rPr>
          <w:rFonts w:cs="Times New Roman"/>
          <w:szCs w:val="24"/>
        </w:rPr>
      </w:pPr>
      <w:r>
        <w:rPr>
          <w:rFonts w:cs="Times New Roman"/>
          <w:szCs w:val="24"/>
        </w:rPr>
        <w:t>(</w:t>
      </w:r>
      <w:hyperlink r:id="rId20" w:history="1">
        <w:r w:rsidRPr="004D6943">
          <w:rPr>
            <w:rStyle w:val="Hyperlink"/>
            <w:rFonts w:cs="Times New Roman"/>
            <w:szCs w:val="24"/>
          </w:rPr>
          <w:t>http://www.sciencedirect.com/science/article/pii/S15709639100</w:t>
        </w:r>
        <w:r w:rsidRPr="004D6943">
          <w:rPr>
            <w:rStyle w:val="Hyperlink"/>
            <w:rFonts w:cs="Times New Roman"/>
            <w:szCs w:val="24"/>
          </w:rPr>
          <w:t>0</w:t>
        </w:r>
        <w:r w:rsidRPr="004D6943">
          <w:rPr>
            <w:rStyle w:val="Hyperlink"/>
            <w:rFonts w:cs="Times New Roman"/>
            <w:szCs w:val="24"/>
          </w:rPr>
          <w:t>0993</w:t>
        </w:r>
      </w:hyperlink>
      <w:r>
        <w:rPr>
          <w:rFonts w:cs="Times New Roman"/>
          <w:szCs w:val="24"/>
        </w:rPr>
        <w:t xml:space="preserve">) </w:t>
      </w:r>
    </w:p>
    <w:p w14:paraId="789F465C" w14:textId="77777777" w:rsidR="003F582F" w:rsidRDefault="003F582F" w:rsidP="00FD750C">
      <w:pPr>
        <w:rPr>
          <w:rFonts w:cs="Times New Roman"/>
          <w:szCs w:val="24"/>
        </w:rPr>
      </w:pPr>
    </w:p>
    <w:p w14:paraId="115B3139" w14:textId="77777777" w:rsidR="00041AB3" w:rsidRDefault="003F582F" w:rsidP="00FD750C">
      <w:pPr>
        <w:rPr>
          <w:rFonts w:cs="Times New Roman"/>
          <w:szCs w:val="24"/>
        </w:rPr>
      </w:pPr>
      <w:r>
        <w:rPr>
          <w:rFonts w:cs="Times New Roman"/>
          <w:szCs w:val="24"/>
        </w:rPr>
        <w:t xml:space="preserve">13. </w:t>
      </w:r>
      <w:r w:rsidRPr="003F582F">
        <w:rPr>
          <w:rFonts w:cs="Times New Roman"/>
          <w:szCs w:val="24"/>
        </w:rPr>
        <w:t xml:space="preserve">Wolfe, L. S., Calabrese, M. F., Nath, A., Blaho, D. V., Miranker, A. D., &amp; Xiong, Y. (2010). Protein-induced photophysical changes to the amyloid indicator dye thioflavin T. Proceedings of the National Academy of Sciences of the United States of America, 107(39), 16863–16868. </w:t>
      </w:r>
    </w:p>
    <w:p w14:paraId="727C18F8" w14:textId="77777777" w:rsidR="003F582F" w:rsidRDefault="003F582F" w:rsidP="00FD750C">
      <w:pPr>
        <w:rPr>
          <w:rFonts w:cs="Times New Roman"/>
          <w:szCs w:val="24"/>
        </w:rPr>
      </w:pPr>
      <w:r>
        <w:rPr>
          <w:rFonts w:cs="Times New Roman"/>
          <w:szCs w:val="24"/>
        </w:rPr>
        <w:t>(</w:t>
      </w:r>
      <w:hyperlink r:id="rId21" w:history="1">
        <w:r w:rsidRPr="004D6943">
          <w:rPr>
            <w:rStyle w:val="Hyperlink"/>
            <w:rFonts w:cs="Times New Roman"/>
            <w:szCs w:val="24"/>
          </w:rPr>
          <w:t>https://www.ncbi.nlm.nih.gov/pmc/arti</w:t>
        </w:r>
        <w:r w:rsidRPr="004D6943">
          <w:rPr>
            <w:rStyle w:val="Hyperlink"/>
            <w:rFonts w:cs="Times New Roman"/>
            <w:szCs w:val="24"/>
          </w:rPr>
          <w:t>c</w:t>
        </w:r>
        <w:r w:rsidRPr="004D6943">
          <w:rPr>
            <w:rStyle w:val="Hyperlink"/>
            <w:rFonts w:cs="Times New Roman"/>
            <w:szCs w:val="24"/>
          </w:rPr>
          <w:t>les/PMC2947910/</w:t>
        </w:r>
      </w:hyperlink>
      <w:r>
        <w:rPr>
          <w:rFonts w:cs="Times New Roman"/>
          <w:szCs w:val="24"/>
        </w:rPr>
        <w:t xml:space="preserve">) </w:t>
      </w:r>
    </w:p>
    <w:p w14:paraId="1DD6C3F4" w14:textId="77777777" w:rsidR="003F582F" w:rsidRDefault="003F582F" w:rsidP="00FD750C">
      <w:pPr>
        <w:rPr>
          <w:rFonts w:cs="Times New Roman"/>
          <w:szCs w:val="24"/>
        </w:rPr>
      </w:pPr>
    </w:p>
    <w:p w14:paraId="532823CF" w14:textId="77777777" w:rsidR="00755596" w:rsidRPr="00755596" w:rsidRDefault="00755596" w:rsidP="00755596">
      <w:pPr>
        <w:pStyle w:val="HTMLPreformatted"/>
        <w:rPr>
          <w:rFonts w:ascii="Times New Roman" w:hAnsi="Times New Roman" w:cs="Times New Roman"/>
          <w:color w:val="000000"/>
          <w:sz w:val="24"/>
        </w:rPr>
      </w:pPr>
      <w:r w:rsidRPr="00755596">
        <w:rPr>
          <w:rFonts w:ascii="Times New Roman" w:hAnsi="Times New Roman" w:cs="Times New Roman"/>
          <w:sz w:val="24"/>
          <w:szCs w:val="24"/>
        </w:rPr>
        <w:t xml:space="preserve">14. </w:t>
      </w:r>
      <w:r w:rsidRPr="00755596">
        <w:rPr>
          <w:rFonts w:ascii="Times New Roman" w:hAnsi="Times New Roman" w:cs="Times New Roman"/>
          <w:color w:val="000000"/>
          <w:sz w:val="24"/>
        </w:rPr>
        <w:t>Hao,</w:t>
      </w:r>
      <w:r w:rsidR="00304C8E">
        <w:rPr>
          <w:rFonts w:ascii="Times New Roman" w:hAnsi="Times New Roman" w:cs="Times New Roman"/>
          <w:color w:val="000000"/>
          <w:sz w:val="24"/>
        </w:rPr>
        <w:t xml:space="preserve"> J., </w:t>
      </w:r>
      <w:r w:rsidRPr="00755596">
        <w:rPr>
          <w:rFonts w:ascii="Times New Roman" w:hAnsi="Times New Roman" w:cs="Times New Roman"/>
          <w:color w:val="000000"/>
          <w:sz w:val="24"/>
        </w:rPr>
        <w:t>Zhang,</w:t>
      </w:r>
      <w:r w:rsidR="00304C8E">
        <w:rPr>
          <w:rFonts w:ascii="Times New Roman" w:hAnsi="Times New Roman" w:cs="Times New Roman"/>
          <w:color w:val="000000"/>
          <w:sz w:val="24"/>
        </w:rPr>
        <w:t xml:space="preserve"> W.,</w:t>
      </w:r>
      <w:r w:rsidRPr="00755596">
        <w:rPr>
          <w:rFonts w:ascii="Times New Roman" w:hAnsi="Times New Roman" w:cs="Times New Roman"/>
          <w:color w:val="000000"/>
          <w:sz w:val="24"/>
        </w:rPr>
        <w:t xml:space="preserve"> Zhang,</w:t>
      </w:r>
      <w:r w:rsidR="00304C8E">
        <w:rPr>
          <w:rFonts w:ascii="Times New Roman" w:hAnsi="Times New Roman" w:cs="Times New Roman"/>
          <w:color w:val="000000"/>
          <w:sz w:val="24"/>
        </w:rPr>
        <w:t xml:space="preserve"> P.,</w:t>
      </w:r>
      <w:r w:rsidRPr="00755596">
        <w:rPr>
          <w:rFonts w:ascii="Times New Roman" w:hAnsi="Times New Roman" w:cs="Times New Roman"/>
          <w:color w:val="000000"/>
          <w:sz w:val="24"/>
        </w:rPr>
        <w:t xml:space="preserve"> Liu,</w:t>
      </w:r>
      <w:r w:rsidR="00304C8E">
        <w:rPr>
          <w:rFonts w:ascii="Times New Roman" w:hAnsi="Times New Roman" w:cs="Times New Roman"/>
          <w:color w:val="000000"/>
          <w:sz w:val="24"/>
        </w:rPr>
        <w:t xml:space="preserve"> R.,</w:t>
      </w:r>
      <w:r w:rsidRPr="00755596">
        <w:rPr>
          <w:rFonts w:ascii="Times New Roman" w:hAnsi="Times New Roman" w:cs="Times New Roman"/>
          <w:color w:val="000000"/>
          <w:sz w:val="24"/>
        </w:rPr>
        <w:t xml:space="preserve"> Liu,</w:t>
      </w:r>
      <w:r w:rsidR="00304C8E">
        <w:rPr>
          <w:rFonts w:ascii="Times New Roman" w:hAnsi="Times New Roman" w:cs="Times New Roman"/>
          <w:color w:val="000000"/>
          <w:sz w:val="24"/>
        </w:rPr>
        <w:t xml:space="preserve"> L.,</w:t>
      </w:r>
      <w:r w:rsidRPr="00755596">
        <w:rPr>
          <w:rFonts w:ascii="Times New Roman" w:hAnsi="Times New Roman" w:cs="Times New Roman"/>
          <w:color w:val="000000"/>
          <w:sz w:val="24"/>
        </w:rPr>
        <w:t xml:space="preserve"> Lei,</w:t>
      </w:r>
      <w:r w:rsidR="00304C8E">
        <w:rPr>
          <w:rFonts w:ascii="Times New Roman" w:hAnsi="Times New Roman" w:cs="Times New Roman"/>
          <w:color w:val="000000"/>
          <w:sz w:val="24"/>
        </w:rPr>
        <w:t xml:space="preserve"> G.,</w:t>
      </w:r>
      <w:r w:rsidRPr="00755596">
        <w:rPr>
          <w:rFonts w:ascii="Times New Roman" w:hAnsi="Times New Roman" w:cs="Times New Roman"/>
          <w:color w:val="000000"/>
          <w:sz w:val="24"/>
        </w:rPr>
        <w:t xml:space="preserve"> </w:t>
      </w:r>
      <w:r>
        <w:rPr>
          <w:rFonts w:ascii="Times New Roman" w:hAnsi="Times New Roman" w:cs="Times New Roman"/>
          <w:color w:val="000000"/>
          <w:sz w:val="24"/>
        </w:rPr>
        <w:t>Su,</w:t>
      </w:r>
      <w:r w:rsidR="00304C8E">
        <w:rPr>
          <w:rFonts w:ascii="Times New Roman" w:hAnsi="Times New Roman" w:cs="Times New Roman"/>
          <w:color w:val="000000"/>
          <w:sz w:val="24"/>
        </w:rPr>
        <w:t xml:space="preserve"> C.,</w:t>
      </w:r>
      <w:r>
        <w:rPr>
          <w:rFonts w:ascii="Times New Roman" w:hAnsi="Times New Roman" w:cs="Times New Roman"/>
          <w:color w:val="000000"/>
          <w:sz w:val="24"/>
        </w:rPr>
        <w:t xml:space="preserve"> Miao,</w:t>
      </w:r>
      <w:r w:rsidR="00304C8E">
        <w:rPr>
          <w:rFonts w:ascii="Times New Roman" w:hAnsi="Times New Roman" w:cs="Times New Roman"/>
          <w:color w:val="000000"/>
          <w:sz w:val="24"/>
        </w:rPr>
        <w:t xml:space="preserve"> J.,</w:t>
      </w:r>
      <w:r>
        <w:rPr>
          <w:rFonts w:ascii="Times New Roman" w:hAnsi="Times New Roman" w:cs="Times New Roman"/>
          <w:color w:val="000000"/>
          <w:sz w:val="24"/>
        </w:rPr>
        <w:t xml:space="preserve"> Li</w:t>
      </w:r>
      <w:r w:rsidR="00304C8E">
        <w:rPr>
          <w:rFonts w:ascii="Times New Roman" w:hAnsi="Times New Roman" w:cs="Times New Roman"/>
          <w:color w:val="000000"/>
          <w:sz w:val="24"/>
        </w:rPr>
        <w:t>, Z</w:t>
      </w:r>
      <w:r>
        <w:rPr>
          <w:rFonts w:ascii="Times New Roman" w:hAnsi="Times New Roman" w:cs="Times New Roman"/>
          <w:color w:val="000000"/>
          <w:sz w:val="24"/>
        </w:rPr>
        <w:t>. 2010.</w:t>
      </w:r>
      <w:r w:rsidRPr="00755596">
        <w:rPr>
          <w:rFonts w:ascii="Times New Roman" w:hAnsi="Times New Roman" w:cs="Times New Roman"/>
          <w:color w:val="000000"/>
          <w:sz w:val="24"/>
        </w:rPr>
        <w:t xml:space="preserve"> Aβ20–29 peptide blocking apoE/Aβ interaction reduces full-length Aβ42/40 fibril form</w:t>
      </w:r>
      <w:r>
        <w:rPr>
          <w:rFonts w:ascii="Times New Roman" w:hAnsi="Times New Roman" w:cs="Times New Roman"/>
          <w:color w:val="000000"/>
          <w:sz w:val="24"/>
        </w:rPr>
        <w:t>ation and cytotoxicity in vitro.</w:t>
      </w:r>
      <w:r w:rsidRPr="00755596">
        <w:rPr>
          <w:rFonts w:ascii="Times New Roman" w:hAnsi="Times New Roman" w:cs="Times New Roman"/>
          <w:color w:val="000000"/>
          <w:sz w:val="24"/>
        </w:rPr>
        <w:t xml:space="preserve"> Neuropeptides, </w:t>
      </w:r>
      <w:r>
        <w:rPr>
          <w:rFonts w:ascii="Times New Roman" w:hAnsi="Times New Roman" w:cs="Times New Roman"/>
          <w:color w:val="000000"/>
          <w:sz w:val="24"/>
        </w:rPr>
        <w:t>44(</w:t>
      </w:r>
      <w:r w:rsidRPr="00755596">
        <w:rPr>
          <w:rFonts w:ascii="Times New Roman" w:hAnsi="Times New Roman" w:cs="Times New Roman"/>
          <w:color w:val="000000"/>
          <w:sz w:val="24"/>
        </w:rPr>
        <w:t>4</w:t>
      </w:r>
      <w:r>
        <w:rPr>
          <w:rFonts w:ascii="Times New Roman" w:hAnsi="Times New Roman" w:cs="Times New Roman"/>
          <w:color w:val="000000"/>
          <w:sz w:val="24"/>
        </w:rPr>
        <w:t>):</w:t>
      </w:r>
      <w:r w:rsidRPr="00755596">
        <w:rPr>
          <w:rFonts w:ascii="Times New Roman" w:hAnsi="Times New Roman" w:cs="Times New Roman"/>
          <w:color w:val="000000"/>
          <w:sz w:val="24"/>
        </w:rPr>
        <w:t xml:space="preserve"> 305-313</w:t>
      </w:r>
      <w:r>
        <w:rPr>
          <w:rFonts w:ascii="Times New Roman" w:hAnsi="Times New Roman" w:cs="Times New Roman"/>
          <w:color w:val="000000"/>
          <w:sz w:val="24"/>
        </w:rPr>
        <w:t>.</w:t>
      </w:r>
    </w:p>
    <w:p w14:paraId="45F29092" w14:textId="77777777" w:rsidR="00755596" w:rsidRDefault="00755596" w:rsidP="0075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000000"/>
          <w:szCs w:val="20"/>
        </w:rPr>
      </w:pPr>
      <w:r w:rsidRPr="00755596">
        <w:rPr>
          <w:rFonts w:eastAsia="Times New Roman" w:cs="Times New Roman"/>
          <w:color w:val="000000"/>
          <w:szCs w:val="20"/>
        </w:rPr>
        <w:t>(</w:t>
      </w:r>
      <w:hyperlink r:id="rId22" w:history="1">
        <w:r w:rsidRPr="004D6943">
          <w:rPr>
            <w:rStyle w:val="Hyperlink"/>
            <w:rFonts w:eastAsia="Times New Roman" w:cs="Times New Roman"/>
            <w:szCs w:val="20"/>
          </w:rPr>
          <w:t>http://www.sciencedirect.com/science/article/pii/S0143417910000296</w:t>
        </w:r>
      </w:hyperlink>
      <w:r>
        <w:rPr>
          <w:rFonts w:eastAsia="Times New Roman" w:cs="Times New Roman"/>
          <w:color w:val="000000"/>
          <w:szCs w:val="20"/>
        </w:rPr>
        <w:t xml:space="preserve">) </w:t>
      </w:r>
    </w:p>
    <w:p w14:paraId="05A0F8C0" w14:textId="77777777" w:rsidR="00D07829" w:rsidRDefault="00D07829" w:rsidP="0075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000000"/>
          <w:szCs w:val="20"/>
        </w:rPr>
      </w:pPr>
    </w:p>
    <w:p w14:paraId="0B738AB6" w14:textId="77777777" w:rsidR="00D07829" w:rsidRPr="00755596" w:rsidRDefault="00D07829" w:rsidP="00D0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000000"/>
          <w:szCs w:val="20"/>
        </w:rPr>
      </w:pPr>
      <w:r>
        <w:rPr>
          <w:rFonts w:eastAsia="Times New Roman" w:cs="Times New Roman"/>
          <w:color w:val="000000"/>
          <w:szCs w:val="20"/>
        </w:rPr>
        <w:t xml:space="preserve">15. </w:t>
      </w:r>
      <w:r w:rsidRPr="00D07829">
        <w:rPr>
          <w:rFonts w:eastAsia="Times New Roman" w:cs="Times New Roman"/>
          <w:color w:val="000000"/>
          <w:szCs w:val="20"/>
        </w:rPr>
        <w:t>Groenning,</w:t>
      </w:r>
      <w:r>
        <w:rPr>
          <w:rFonts w:eastAsia="Times New Roman" w:cs="Times New Roman"/>
          <w:color w:val="000000"/>
          <w:szCs w:val="20"/>
        </w:rPr>
        <w:t xml:space="preserve"> M., </w:t>
      </w:r>
      <w:r w:rsidRPr="00D07829">
        <w:rPr>
          <w:rFonts w:eastAsia="Times New Roman" w:cs="Times New Roman"/>
          <w:color w:val="000000"/>
          <w:szCs w:val="20"/>
        </w:rPr>
        <w:t>Olsen,</w:t>
      </w:r>
      <w:r>
        <w:rPr>
          <w:rFonts w:eastAsia="Times New Roman" w:cs="Times New Roman"/>
          <w:color w:val="000000"/>
          <w:szCs w:val="20"/>
        </w:rPr>
        <w:t xml:space="preserve"> L., van de Weer</w:t>
      </w:r>
      <w:r w:rsidRPr="00D07829">
        <w:rPr>
          <w:rFonts w:eastAsia="Times New Roman" w:cs="Times New Roman"/>
          <w:color w:val="000000"/>
          <w:szCs w:val="20"/>
        </w:rPr>
        <w:t>,</w:t>
      </w:r>
      <w:r>
        <w:rPr>
          <w:rFonts w:eastAsia="Times New Roman" w:cs="Times New Roman"/>
          <w:color w:val="000000"/>
          <w:szCs w:val="20"/>
        </w:rPr>
        <w:t xml:space="preserve"> M., </w:t>
      </w:r>
      <w:r w:rsidRPr="00D07829">
        <w:rPr>
          <w:rFonts w:eastAsia="Times New Roman" w:cs="Times New Roman"/>
          <w:color w:val="000000"/>
          <w:szCs w:val="20"/>
        </w:rPr>
        <w:t>Flink,</w:t>
      </w:r>
      <w:r>
        <w:rPr>
          <w:rFonts w:eastAsia="Times New Roman" w:cs="Times New Roman"/>
          <w:color w:val="000000"/>
          <w:szCs w:val="20"/>
        </w:rPr>
        <w:t xml:space="preserve"> J.M., </w:t>
      </w:r>
      <w:r w:rsidRPr="00D07829">
        <w:rPr>
          <w:rFonts w:eastAsia="Times New Roman" w:cs="Times New Roman"/>
          <w:color w:val="000000"/>
          <w:szCs w:val="20"/>
        </w:rPr>
        <w:t>Frokjaer,</w:t>
      </w:r>
      <w:r>
        <w:rPr>
          <w:rFonts w:eastAsia="Times New Roman" w:cs="Times New Roman"/>
          <w:color w:val="000000"/>
          <w:szCs w:val="20"/>
        </w:rPr>
        <w:t xml:space="preserve"> S.,</w:t>
      </w:r>
      <w:r w:rsidRPr="00D07829">
        <w:rPr>
          <w:rFonts w:eastAsia="Times New Roman" w:cs="Times New Roman"/>
          <w:color w:val="000000"/>
          <w:szCs w:val="20"/>
        </w:rPr>
        <w:t xml:space="preserve"> Jørgensen,</w:t>
      </w:r>
      <w:r>
        <w:rPr>
          <w:rFonts w:eastAsia="Times New Roman" w:cs="Times New Roman"/>
          <w:color w:val="000000"/>
          <w:szCs w:val="20"/>
        </w:rPr>
        <w:t xml:space="preserve"> F., S. 2007.</w:t>
      </w:r>
      <w:r w:rsidRPr="00D07829">
        <w:rPr>
          <w:rFonts w:eastAsia="Times New Roman" w:cs="Times New Roman"/>
          <w:color w:val="000000"/>
          <w:szCs w:val="20"/>
        </w:rPr>
        <w:t xml:space="preserve"> Study on the binding of Thioflavin T to β-sheet-rich and non-β-sheet cavities, Journal of Structural Biology</w:t>
      </w:r>
      <w:r>
        <w:rPr>
          <w:rFonts w:eastAsia="Times New Roman" w:cs="Times New Roman"/>
          <w:color w:val="000000"/>
          <w:szCs w:val="20"/>
        </w:rPr>
        <w:t xml:space="preserve"> 158(</w:t>
      </w:r>
      <w:r w:rsidRPr="00D07829">
        <w:rPr>
          <w:rFonts w:eastAsia="Times New Roman" w:cs="Times New Roman"/>
          <w:color w:val="000000"/>
          <w:szCs w:val="20"/>
        </w:rPr>
        <w:t>3</w:t>
      </w:r>
      <w:r>
        <w:rPr>
          <w:rFonts w:eastAsia="Times New Roman" w:cs="Times New Roman"/>
          <w:color w:val="000000"/>
          <w:szCs w:val="20"/>
        </w:rPr>
        <w:t xml:space="preserve">): </w:t>
      </w:r>
      <w:r w:rsidRPr="00D07829">
        <w:rPr>
          <w:rFonts w:eastAsia="Times New Roman" w:cs="Times New Roman"/>
          <w:color w:val="000000"/>
          <w:szCs w:val="20"/>
        </w:rPr>
        <w:t>358-369</w:t>
      </w:r>
      <w:r>
        <w:rPr>
          <w:rFonts w:eastAsia="Times New Roman" w:cs="Times New Roman"/>
          <w:color w:val="000000"/>
          <w:szCs w:val="20"/>
        </w:rPr>
        <w:t>.</w:t>
      </w:r>
      <w:r w:rsidRPr="00D07829">
        <w:rPr>
          <w:rFonts w:eastAsia="Times New Roman" w:cs="Times New Roman"/>
          <w:color w:val="000000"/>
          <w:szCs w:val="20"/>
        </w:rPr>
        <w:t xml:space="preserve"> </w:t>
      </w:r>
      <w:r>
        <w:rPr>
          <w:rFonts w:eastAsia="Times New Roman" w:cs="Times New Roman"/>
          <w:color w:val="000000"/>
          <w:szCs w:val="20"/>
        </w:rPr>
        <w:t xml:space="preserve"> </w:t>
      </w:r>
      <w:r w:rsidRPr="00D07829">
        <w:rPr>
          <w:rFonts w:eastAsia="Times New Roman" w:cs="Times New Roman"/>
          <w:color w:val="000000"/>
          <w:szCs w:val="20"/>
        </w:rPr>
        <w:t>(</w:t>
      </w:r>
      <w:hyperlink r:id="rId23" w:history="1">
        <w:r w:rsidRPr="004D6943">
          <w:rPr>
            <w:rStyle w:val="Hyperlink"/>
            <w:rFonts w:eastAsia="Times New Roman" w:cs="Times New Roman"/>
            <w:szCs w:val="20"/>
          </w:rPr>
          <w:t>http://www.sciencedirect.com/science/article/pii/S1047847706003923</w:t>
        </w:r>
      </w:hyperlink>
      <w:r>
        <w:rPr>
          <w:rFonts w:eastAsia="Times New Roman" w:cs="Times New Roman"/>
          <w:color w:val="000000"/>
          <w:szCs w:val="20"/>
        </w:rPr>
        <w:t xml:space="preserve">) </w:t>
      </w:r>
    </w:p>
    <w:p w14:paraId="6A9D1AFE" w14:textId="77777777" w:rsidR="00041AB3" w:rsidRPr="00CD7F47" w:rsidRDefault="00041AB3" w:rsidP="00FD750C">
      <w:pPr>
        <w:rPr>
          <w:rFonts w:cs="Times New Roman"/>
          <w:szCs w:val="24"/>
        </w:rPr>
      </w:pPr>
    </w:p>
    <w:sectPr w:rsidR="00041AB3" w:rsidRPr="00CD7F47">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3832A" w14:textId="77777777" w:rsidR="00823C24" w:rsidRDefault="00823C24" w:rsidP="001700FB">
      <w:pPr>
        <w:spacing w:line="240" w:lineRule="auto"/>
      </w:pPr>
      <w:r>
        <w:separator/>
      </w:r>
    </w:p>
  </w:endnote>
  <w:endnote w:type="continuationSeparator" w:id="0">
    <w:p w14:paraId="6E12F26C" w14:textId="77777777" w:rsidR="00823C24" w:rsidRDefault="00823C24" w:rsidP="0017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9435E" w14:textId="77777777" w:rsidR="00823C24" w:rsidRDefault="00823C24" w:rsidP="001700FB">
      <w:pPr>
        <w:spacing w:line="240" w:lineRule="auto"/>
      </w:pPr>
      <w:r>
        <w:separator/>
      </w:r>
    </w:p>
  </w:footnote>
  <w:footnote w:type="continuationSeparator" w:id="0">
    <w:p w14:paraId="1666F4E5" w14:textId="77777777" w:rsidR="00823C24" w:rsidRDefault="00823C24" w:rsidP="001700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C7F8" w14:textId="77777777" w:rsidR="00785A31" w:rsidRDefault="00785A31" w:rsidP="00785A31">
    <w:pPr>
      <w:pStyle w:val="Header"/>
    </w:pPr>
    <w:r>
      <w:tab/>
    </w:r>
    <w:r>
      <w:tab/>
      <w:t>(</w:t>
    </w:r>
    <w:r w:rsidR="00A11834">
      <w:t xml:space="preserve">29 </w:t>
    </w:r>
    <w:r>
      <w:t>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A0334"/>
    <w:multiLevelType w:val="hybridMultilevel"/>
    <w:tmpl w:val="5664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34FA5"/>
    <w:multiLevelType w:val="hybridMultilevel"/>
    <w:tmpl w:val="C46E2194"/>
    <w:lvl w:ilvl="0" w:tplc="ECD43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C6976"/>
    <w:multiLevelType w:val="hybridMultilevel"/>
    <w:tmpl w:val="74C04C50"/>
    <w:lvl w:ilvl="0" w:tplc="8C4A7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334A8"/>
    <w:multiLevelType w:val="hybridMultilevel"/>
    <w:tmpl w:val="570C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47"/>
    <w:rsid w:val="000005AF"/>
    <w:rsid w:val="00006FE7"/>
    <w:rsid w:val="0001139F"/>
    <w:rsid w:val="0001330A"/>
    <w:rsid w:val="00030B31"/>
    <w:rsid w:val="00037952"/>
    <w:rsid w:val="00041AB3"/>
    <w:rsid w:val="00050337"/>
    <w:rsid w:val="0006413F"/>
    <w:rsid w:val="00077165"/>
    <w:rsid w:val="000857E8"/>
    <w:rsid w:val="0008707A"/>
    <w:rsid w:val="000B4A0A"/>
    <w:rsid w:val="000C2E9B"/>
    <w:rsid w:val="000E2AC8"/>
    <w:rsid w:val="00123491"/>
    <w:rsid w:val="001248FF"/>
    <w:rsid w:val="00150396"/>
    <w:rsid w:val="001565C2"/>
    <w:rsid w:val="001658F6"/>
    <w:rsid w:val="001700FB"/>
    <w:rsid w:val="001879AB"/>
    <w:rsid w:val="001C2772"/>
    <w:rsid w:val="001E4E20"/>
    <w:rsid w:val="001F1A4C"/>
    <w:rsid w:val="002142BE"/>
    <w:rsid w:val="00217C18"/>
    <w:rsid w:val="00225877"/>
    <w:rsid w:val="0023437B"/>
    <w:rsid w:val="00276BC6"/>
    <w:rsid w:val="00281F05"/>
    <w:rsid w:val="002824F0"/>
    <w:rsid w:val="002D21BD"/>
    <w:rsid w:val="002F6D4D"/>
    <w:rsid w:val="0030202F"/>
    <w:rsid w:val="00304C8E"/>
    <w:rsid w:val="00306CA8"/>
    <w:rsid w:val="00324470"/>
    <w:rsid w:val="0033612A"/>
    <w:rsid w:val="00341504"/>
    <w:rsid w:val="00364B46"/>
    <w:rsid w:val="003863C9"/>
    <w:rsid w:val="003937B7"/>
    <w:rsid w:val="003A0B3D"/>
    <w:rsid w:val="003B46B4"/>
    <w:rsid w:val="003B4C2C"/>
    <w:rsid w:val="003B5F4E"/>
    <w:rsid w:val="003E08ED"/>
    <w:rsid w:val="003F582F"/>
    <w:rsid w:val="004005F5"/>
    <w:rsid w:val="00407D5D"/>
    <w:rsid w:val="004434F2"/>
    <w:rsid w:val="00444E63"/>
    <w:rsid w:val="004468BF"/>
    <w:rsid w:val="004619CE"/>
    <w:rsid w:val="004A0470"/>
    <w:rsid w:val="004A57D9"/>
    <w:rsid w:val="004C6AD4"/>
    <w:rsid w:val="004D19FC"/>
    <w:rsid w:val="00510A5A"/>
    <w:rsid w:val="00521DD9"/>
    <w:rsid w:val="00526436"/>
    <w:rsid w:val="00535AF2"/>
    <w:rsid w:val="00582689"/>
    <w:rsid w:val="00584D47"/>
    <w:rsid w:val="005B7476"/>
    <w:rsid w:val="00616001"/>
    <w:rsid w:val="00651755"/>
    <w:rsid w:val="006530A4"/>
    <w:rsid w:val="00680F92"/>
    <w:rsid w:val="006F7FBF"/>
    <w:rsid w:val="00723E32"/>
    <w:rsid w:val="007333A6"/>
    <w:rsid w:val="0075048D"/>
    <w:rsid w:val="00755596"/>
    <w:rsid w:val="00785A31"/>
    <w:rsid w:val="007C1C7D"/>
    <w:rsid w:val="007C4CF6"/>
    <w:rsid w:val="007D2860"/>
    <w:rsid w:val="007D42B1"/>
    <w:rsid w:val="007E13F5"/>
    <w:rsid w:val="007F61AD"/>
    <w:rsid w:val="007F638D"/>
    <w:rsid w:val="00823C24"/>
    <w:rsid w:val="00823F81"/>
    <w:rsid w:val="0084075C"/>
    <w:rsid w:val="0084236B"/>
    <w:rsid w:val="00855116"/>
    <w:rsid w:val="00877F49"/>
    <w:rsid w:val="00894CB3"/>
    <w:rsid w:val="008A044F"/>
    <w:rsid w:val="008A334E"/>
    <w:rsid w:val="008B10DA"/>
    <w:rsid w:val="008B5071"/>
    <w:rsid w:val="00907A95"/>
    <w:rsid w:val="009303BC"/>
    <w:rsid w:val="00940A5A"/>
    <w:rsid w:val="009436EF"/>
    <w:rsid w:val="009538C1"/>
    <w:rsid w:val="00966B93"/>
    <w:rsid w:val="00982573"/>
    <w:rsid w:val="00985DB0"/>
    <w:rsid w:val="009939B0"/>
    <w:rsid w:val="009C22E0"/>
    <w:rsid w:val="009C7F3B"/>
    <w:rsid w:val="009F1343"/>
    <w:rsid w:val="00A10E7C"/>
    <w:rsid w:val="00A11834"/>
    <w:rsid w:val="00A14A5A"/>
    <w:rsid w:val="00A43680"/>
    <w:rsid w:val="00A72FE5"/>
    <w:rsid w:val="00A75452"/>
    <w:rsid w:val="00A918AF"/>
    <w:rsid w:val="00AA0123"/>
    <w:rsid w:val="00AC497D"/>
    <w:rsid w:val="00AD132D"/>
    <w:rsid w:val="00B0123B"/>
    <w:rsid w:val="00B0262D"/>
    <w:rsid w:val="00B03B0C"/>
    <w:rsid w:val="00B17612"/>
    <w:rsid w:val="00B2176D"/>
    <w:rsid w:val="00B23E51"/>
    <w:rsid w:val="00B8191A"/>
    <w:rsid w:val="00BB32DC"/>
    <w:rsid w:val="00BB5D37"/>
    <w:rsid w:val="00BB6EB2"/>
    <w:rsid w:val="00BE2A00"/>
    <w:rsid w:val="00C072A7"/>
    <w:rsid w:val="00C4128D"/>
    <w:rsid w:val="00C46FF3"/>
    <w:rsid w:val="00CA1496"/>
    <w:rsid w:val="00CB1CCD"/>
    <w:rsid w:val="00CD7F47"/>
    <w:rsid w:val="00CE54B5"/>
    <w:rsid w:val="00D019BA"/>
    <w:rsid w:val="00D07829"/>
    <w:rsid w:val="00D73F64"/>
    <w:rsid w:val="00D80CEA"/>
    <w:rsid w:val="00D81CE6"/>
    <w:rsid w:val="00D96CE4"/>
    <w:rsid w:val="00D96DD8"/>
    <w:rsid w:val="00DB6E7F"/>
    <w:rsid w:val="00DD08DA"/>
    <w:rsid w:val="00E02D0B"/>
    <w:rsid w:val="00E11ADC"/>
    <w:rsid w:val="00E12E53"/>
    <w:rsid w:val="00E136CE"/>
    <w:rsid w:val="00E13BDB"/>
    <w:rsid w:val="00E3135B"/>
    <w:rsid w:val="00E3347E"/>
    <w:rsid w:val="00E53EF9"/>
    <w:rsid w:val="00E55428"/>
    <w:rsid w:val="00E8545D"/>
    <w:rsid w:val="00EA6AE3"/>
    <w:rsid w:val="00EB3911"/>
    <w:rsid w:val="00EB4EEC"/>
    <w:rsid w:val="00F67BB2"/>
    <w:rsid w:val="00FA3DD7"/>
    <w:rsid w:val="00FB7EAE"/>
    <w:rsid w:val="00FD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69E1"/>
  <w15:chartTrackingRefBased/>
  <w15:docId w15:val="{2E6D2148-D92B-4498-9933-626D4724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AD"/>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EC"/>
    <w:pPr>
      <w:ind w:left="720"/>
      <w:contextualSpacing/>
    </w:pPr>
  </w:style>
  <w:style w:type="character" w:styleId="Hyperlink">
    <w:name w:val="Hyperlink"/>
    <w:basedOn w:val="DefaultParagraphFont"/>
    <w:uiPriority w:val="99"/>
    <w:unhideWhenUsed/>
    <w:rsid w:val="00364B46"/>
    <w:rPr>
      <w:color w:val="0563C1" w:themeColor="hyperlink"/>
      <w:u w:val="single"/>
    </w:rPr>
  </w:style>
  <w:style w:type="character" w:styleId="FollowedHyperlink">
    <w:name w:val="FollowedHyperlink"/>
    <w:basedOn w:val="DefaultParagraphFont"/>
    <w:uiPriority w:val="99"/>
    <w:semiHidden/>
    <w:unhideWhenUsed/>
    <w:rsid w:val="004468BF"/>
    <w:rPr>
      <w:color w:val="954F72" w:themeColor="followedHyperlink"/>
      <w:u w:val="single"/>
    </w:rPr>
  </w:style>
  <w:style w:type="character" w:customStyle="1" w:styleId="apple-converted-space">
    <w:name w:val="apple-converted-space"/>
    <w:basedOn w:val="DefaultParagraphFont"/>
    <w:rsid w:val="00006FE7"/>
  </w:style>
  <w:style w:type="paragraph" w:styleId="FootnoteText">
    <w:name w:val="footnote text"/>
    <w:basedOn w:val="Normal"/>
    <w:link w:val="FootnoteTextChar"/>
    <w:uiPriority w:val="99"/>
    <w:semiHidden/>
    <w:unhideWhenUsed/>
    <w:rsid w:val="001700FB"/>
    <w:pPr>
      <w:spacing w:line="240" w:lineRule="auto"/>
    </w:pPr>
    <w:rPr>
      <w:sz w:val="20"/>
      <w:szCs w:val="20"/>
    </w:rPr>
  </w:style>
  <w:style w:type="character" w:customStyle="1" w:styleId="FootnoteTextChar">
    <w:name w:val="Footnote Text Char"/>
    <w:basedOn w:val="DefaultParagraphFont"/>
    <w:link w:val="FootnoteText"/>
    <w:uiPriority w:val="99"/>
    <w:semiHidden/>
    <w:rsid w:val="001700FB"/>
    <w:rPr>
      <w:rFonts w:ascii="Times New Roman" w:hAnsi="Times New Roman"/>
      <w:sz w:val="20"/>
      <w:szCs w:val="20"/>
    </w:rPr>
  </w:style>
  <w:style w:type="character" w:styleId="FootnoteReference">
    <w:name w:val="footnote reference"/>
    <w:basedOn w:val="DefaultParagraphFont"/>
    <w:uiPriority w:val="99"/>
    <w:semiHidden/>
    <w:unhideWhenUsed/>
    <w:rsid w:val="001700FB"/>
    <w:rPr>
      <w:vertAlign w:val="superscript"/>
    </w:rPr>
  </w:style>
  <w:style w:type="character" w:customStyle="1" w:styleId="st">
    <w:name w:val="st"/>
    <w:basedOn w:val="DefaultParagraphFont"/>
    <w:rsid w:val="000857E8"/>
  </w:style>
  <w:style w:type="paragraph" w:styleId="Caption">
    <w:name w:val="caption"/>
    <w:basedOn w:val="Normal"/>
    <w:next w:val="Normal"/>
    <w:uiPriority w:val="35"/>
    <w:unhideWhenUsed/>
    <w:qFormat/>
    <w:rsid w:val="000857E8"/>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75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5596"/>
    <w:rPr>
      <w:rFonts w:ascii="Courier New" w:eastAsia="Times New Roman" w:hAnsi="Courier New" w:cs="Courier New"/>
      <w:sz w:val="20"/>
      <w:szCs w:val="20"/>
    </w:rPr>
  </w:style>
  <w:style w:type="table" w:styleId="TableGrid">
    <w:name w:val="Table Grid"/>
    <w:basedOn w:val="TableNormal"/>
    <w:uiPriority w:val="39"/>
    <w:rsid w:val="0093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8AF"/>
    <w:pPr>
      <w:tabs>
        <w:tab w:val="center" w:pos="4680"/>
        <w:tab w:val="right" w:pos="9360"/>
      </w:tabs>
      <w:spacing w:line="240" w:lineRule="auto"/>
    </w:pPr>
  </w:style>
  <w:style w:type="character" w:customStyle="1" w:styleId="HeaderChar">
    <w:name w:val="Header Char"/>
    <w:basedOn w:val="DefaultParagraphFont"/>
    <w:link w:val="Header"/>
    <w:uiPriority w:val="99"/>
    <w:rsid w:val="00A918AF"/>
    <w:rPr>
      <w:rFonts w:ascii="Times New Roman" w:hAnsi="Times New Roman"/>
      <w:sz w:val="24"/>
    </w:rPr>
  </w:style>
  <w:style w:type="paragraph" w:styleId="Footer">
    <w:name w:val="footer"/>
    <w:basedOn w:val="Normal"/>
    <w:link w:val="FooterChar"/>
    <w:uiPriority w:val="99"/>
    <w:unhideWhenUsed/>
    <w:rsid w:val="00A918AF"/>
    <w:pPr>
      <w:tabs>
        <w:tab w:val="center" w:pos="4680"/>
        <w:tab w:val="right" w:pos="9360"/>
      </w:tabs>
      <w:spacing w:line="240" w:lineRule="auto"/>
    </w:pPr>
  </w:style>
  <w:style w:type="character" w:customStyle="1" w:styleId="FooterChar">
    <w:name w:val="Footer Char"/>
    <w:basedOn w:val="DefaultParagraphFont"/>
    <w:link w:val="Footer"/>
    <w:uiPriority w:val="99"/>
    <w:rsid w:val="00A918AF"/>
    <w:rPr>
      <w:rFonts w:ascii="Times New Roman" w:hAnsi="Times New Roman"/>
      <w:sz w:val="24"/>
    </w:rPr>
  </w:style>
  <w:style w:type="character" w:styleId="CommentReference">
    <w:name w:val="annotation reference"/>
    <w:basedOn w:val="DefaultParagraphFont"/>
    <w:uiPriority w:val="99"/>
    <w:semiHidden/>
    <w:unhideWhenUsed/>
    <w:rsid w:val="00616001"/>
    <w:rPr>
      <w:sz w:val="16"/>
      <w:szCs w:val="16"/>
    </w:rPr>
  </w:style>
  <w:style w:type="paragraph" w:styleId="CommentText">
    <w:name w:val="annotation text"/>
    <w:basedOn w:val="Normal"/>
    <w:link w:val="CommentTextChar"/>
    <w:uiPriority w:val="99"/>
    <w:semiHidden/>
    <w:unhideWhenUsed/>
    <w:rsid w:val="00616001"/>
    <w:pPr>
      <w:spacing w:line="240" w:lineRule="auto"/>
    </w:pPr>
    <w:rPr>
      <w:sz w:val="20"/>
      <w:szCs w:val="20"/>
    </w:rPr>
  </w:style>
  <w:style w:type="character" w:customStyle="1" w:styleId="CommentTextChar">
    <w:name w:val="Comment Text Char"/>
    <w:basedOn w:val="DefaultParagraphFont"/>
    <w:link w:val="CommentText"/>
    <w:uiPriority w:val="99"/>
    <w:semiHidden/>
    <w:rsid w:val="006160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6001"/>
    <w:rPr>
      <w:b/>
      <w:bCs/>
    </w:rPr>
  </w:style>
  <w:style w:type="character" w:customStyle="1" w:styleId="CommentSubjectChar">
    <w:name w:val="Comment Subject Char"/>
    <w:basedOn w:val="CommentTextChar"/>
    <w:link w:val="CommentSubject"/>
    <w:uiPriority w:val="99"/>
    <w:semiHidden/>
    <w:rsid w:val="00616001"/>
    <w:rPr>
      <w:rFonts w:ascii="Times New Roman" w:hAnsi="Times New Roman"/>
      <w:b/>
      <w:bCs/>
      <w:sz w:val="20"/>
      <w:szCs w:val="20"/>
    </w:rPr>
  </w:style>
  <w:style w:type="paragraph" w:styleId="BalloonText">
    <w:name w:val="Balloon Text"/>
    <w:basedOn w:val="Normal"/>
    <w:link w:val="BalloonTextChar"/>
    <w:uiPriority w:val="99"/>
    <w:semiHidden/>
    <w:unhideWhenUsed/>
    <w:rsid w:val="006160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4306">
      <w:bodyDiv w:val="1"/>
      <w:marLeft w:val="0"/>
      <w:marRight w:val="0"/>
      <w:marTop w:val="0"/>
      <w:marBottom w:val="0"/>
      <w:divBdr>
        <w:top w:val="none" w:sz="0" w:space="0" w:color="auto"/>
        <w:left w:val="none" w:sz="0" w:space="0" w:color="auto"/>
        <w:bottom w:val="none" w:sz="0" w:space="0" w:color="auto"/>
        <w:right w:val="none" w:sz="0" w:space="0" w:color="auto"/>
      </w:divBdr>
    </w:div>
    <w:div w:id="386733198">
      <w:bodyDiv w:val="1"/>
      <w:marLeft w:val="0"/>
      <w:marRight w:val="0"/>
      <w:marTop w:val="0"/>
      <w:marBottom w:val="0"/>
      <w:divBdr>
        <w:top w:val="none" w:sz="0" w:space="0" w:color="auto"/>
        <w:left w:val="none" w:sz="0" w:space="0" w:color="auto"/>
        <w:bottom w:val="none" w:sz="0" w:space="0" w:color="auto"/>
        <w:right w:val="none" w:sz="0" w:space="0" w:color="auto"/>
      </w:divBdr>
    </w:div>
    <w:div w:id="981693068">
      <w:bodyDiv w:val="1"/>
      <w:marLeft w:val="0"/>
      <w:marRight w:val="0"/>
      <w:marTop w:val="0"/>
      <w:marBottom w:val="0"/>
      <w:divBdr>
        <w:top w:val="none" w:sz="0" w:space="0" w:color="auto"/>
        <w:left w:val="none" w:sz="0" w:space="0" w:color="auto"/>
        <w:bottom w:val="none" w:sz="0" w:space="0" w:color="auto"/>
        <w:right w:val="none" w:sz="0" w:space="0" w:color="auto"/>
      </w:divBdr>
    </w:div>
    <w:div w:id="983462520">
      <w:bodyDiv w:val="1"/>
      <w:marLeft w:val="0"/>
      <w:marRight w:val="0"/>
      <w:marTop w:val="0"/>
      <w:marBottom w:val="0"/>
      <w:divBdr>
        <w:top w:val="none" w:sz="0" w:space="0" w:color="auto"/>
        <w:left w:val="none" w:sz="0" w:space="0" w:color="auto"/>
        <w:bottom w:val="none" w:sz="0" w:space="0" w:color="auto"/>
        <w:right w:val="none" w:sz="0" w:space="0" w:color="auto"/>
      </w:divBdr>
    </w:div>
    <w:div w:id="1188710915">
      <w:bodyDiv w:val="1"/>
      <w:marLeft w:val="0"/>
      <w:marRight w:val="0"/>
      <w:marTop w:val="0"/>
      <w:marBottom w:val="0"/>
      <w:divBdr>
        <w:top w:val="none" w:sz="0" w:space="0" w:color="auto"/>
        <w:left w:val="none" w:sz="0" w:space="0" w:color="auto"/>
        <w:bottom w:val="none" w:sz="0" w:space="0" w:color="auto"/>
        <w:right w:val="none" w:sz="0" w:space="0" w:color="auto"/>
      </w:divBdr>
    </w:div>
    <w:div w:id="1593930449">
      <w:bodyDiv w:val="1"/>
      <w:marLeft w:val="0"/>
      <w:marRight w:val="0"/>
      <w:marTop w:val="0"/>
      <w:marBottom w:val="0"/>
      <w:divBdr>
        <w:top w:val="none" w:sz="0" w:space="0" w:color="auto"/>
        <w:left w:val="none" w:sz="0" w:space="0" w:color="auto"/>
        <w:bottom w:val="none" w:sz="0" w:space="0" w:color="auto"/>
        <w:right w:val="none" w:sz="0" w:space="0" w:color="auto"/>
      </w:divBdr>
    </w:div>
    <w:div w:id="19284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direct.com/science/article/pii/S0143417915000657" TargetMode="External"/><Relationship Id="rId18" Type="http://schemas.openxmlformats.org/officeDocument/2006/relationships/hyperlink" Target="https://www.ncbi.nlm.nih.gov/pmc/articles/PMC472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2947910/" TargetMode="External"/><Relationship Id="rId7" Type="http://schemas.openxmlformats.org/officeDocument/2006/relationships/image" Target="media/image1.png"/><Relationship Id="rId12" Type="http://schemas.openxmlformats.org/officeDocument/2006/relationships/hyperlink" Target="http://www.sciencedirect.com.proxy.library.vcu.edu/science/article/pii/S1734114014002886" TargetMode="External"/><Relationship Id="rId17" Type="http://schemas.openxmlformats.org/officeDocument/2006/relationships/hyperlink" Target="https://www.ncbi.nlm.nih.gov/pmc/articles/PMC44472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nas.org/content/103/49/18787.full" TargetMode="External"/><Relationship Id="rId20" Type="http://schemas.openxmlformats.org/officeDocument/2006/relationships/hyperlink" Target="http://www.sciencedirect.com/science/article/pii/S15709639100009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757087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pmc/articles/PMC4196732/" TargetMode="External"/><Relationship Id="rId23" Type="http://schemas.openxmlformats.org/officeDocument/2006/relationships/hyperlink" Target="http://www.sciencedirect.com/science/article/pii/S1047847706003923" TargetMode="External"/><Relationship Id="rId10" Type="http://schemas.openxmlformats.org/officeDocument/2006/relationships/image" Target="media/image4.png"/><Relationship Id="rId19" Type="http://schemas.openxmlformats.org/officeDocument/2006/relationships/hyperlink" Target="http://www.ingentaconnect.com/contentone/ben/cmc/2002/00000009/00000009/art0000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iochemj.org/content/306/2/599" TargetMode="External"/><Relationship Id="rId22" Type="http://schemas.openxmlformats.org/officeDocument/2006/relationships/hyperlink" Target="http://www.sciencedirect.com/science/article/pii/S0143417910000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Raymond</dc:creator>
  <cp:keywords/>
  <dc:description/>
  <cp:lastModifiedBy>Thomas Raymond</cp:lastModifiedBy>
  <cp:revision>2</cp:revision>
  <dcterms:created xsi:type="dcterms:W3CDTF">2017-05-07T05:46:00Z</dcterms:created>
  <dcterms:modified xsi:type="dcterms:W3CDTF">2017-05-07T05:46:00Z</dcterms:modified>
</cp:coreProperties>
</file>