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9F" w:rsidRPr="00B02517" w:rsidRDefault="00A86A37" w:rsidP="0077599F">
      <w:pPr>
        <w:jc w:val="center"/>
        <w:rPr>
          <w:b/>
          <w:sz w:val="28"/>
        </w:rPr>
      </w:pPr>
      <w:r>
        <w:rPr>
          <w:b/>
          <w:sz w:val="28"/>
        </w:rPr>
        <w:t>The effect of</w:t>
      </w:r>
      <w:r w:rsidR="0077599F" w:rsidRPr="00B02517">
        <w:rPr>
          <w:b/>
          <w:sz w:val="28"/>
        </w:rPr>
        <w:t xml:space="preserve"> duplication of </w:t>
      </w:r>
      <w:r w:rsidR="00435BA3">
        <w:rPr>
          <w:b/>
          <w:sz w:val="28"/>
        </w:rPr>
        <w:t xml:space="preserve">the </w:t>
      </w:r>
      <w:r w:rsidR="0077599F" w:rsidRPr="00B02517">
        <w:rPr>
          <w:b/>
          <w:sz w:val="28"/>
        </w:rPr>
        <w:t>varia</w:t>
      </w:r>
      <w:r w:rsidR="00435BA3">
        <w:rPr>
          <w:b/>
          <w:sz w:val="28"/>
        </w:rPr>
        <w:t xml:space="preserve">ble region stem loops </w:t>
      </w:r>
      <w:r w:rsidR="0077599F" w:rsidRPr="00B02517">
        <w:rPr>
          <w:b/>
          <w:sz w:val="28"/>
        </w:rPr>
        <w:t xml:space="preserve">on sfRNA virulence </w:t>
      </w:r>
      <w:r w:rsidR="00EF0EC4">
        <w:rPr>
          <w:b/>
          <w:sz w:val="28"/>
        </w:rPr>
        <w:t>in the dengue</w:t>
      </w:r>
      <w:r w:rsidR="00B02517">
        <w:rPr>
          <w:b/>
          <w:sz w:val="28"/>
        </w:rPr>
        <w:t xml:space="preserve"> virus</w:t>
      </w:r>
    </w:p>
    <w:p w:rsidR="00B02517" w:rsidRPr="00A86356" w:rsidRDefault="0077599F" w:rsidP="00A86356">
      <w:pPr>
        <w:rPr>
          <w:b/>
        </w:rPr>
      </w:pPr>
      <w:r w:rsidRPr="00B02517">
        <w:rPr>
          <w:b/>
        </w:rPr>
        <w:t>I. Introduction</w:t>
      </w:r>
    </w:p>
    <w:p w:rsidR="00F957F7" w:rsidRDefault="00F957F7">
      <w:r>
        <w:tab/>
        <w:t>The dengue virus has found an ingenious way to survive amidst its diminishing host population and habitat reduction: evolving to prefer humans over animals as their natural host</w:t>
      </w:r>
      <w:r w:rsidRPr="00F957F7">
        <w:rPr>
          <w:vertAlign w:val="superscript"/>
        </w:rPr>
        <w:t>1</w:t>
      </w:r>
      <w:r w:rsidR="00FF1605">
        <w:t>. Incidentally, outbreaks of dengue are becoming more and more common with over 2.3 million cases of dengue being reported last year in the Americas alone</w:t>
      </w:r>
      <w:r w:rsidR="00FF1605" w:rsidRPr="00FF1605">
        <w:rPr>
          <w:vertAlign w:val="superscript"/>
        </w:rPr>
        <w:t>2</w:t>
      </w:r>
      <w:r w:rsidR="00FF1605">
        <w:t xml:space="preserve">. Symptoms of dengue </w:t>
      </w:r>
      <w:r w:rsidR="00266635">
        <w:t xml:space="preserve">can </w:t>
      </w:r>
      <w:r w:rsidR="00FF1605">
        <w:t xml:space="preserve">vary from high fever to </w:t>
      </w:r>
      <w:r w:rsidR="00266635">
        <w:t>shock syndrome</w:t>
      </w:r>
      <w:r w:rsidR="00FF1605">
        <w:t xml:space="preserve">, but while it can’t be spread </w:t>
      </w:r>
      <w:r w:rsidR="00266635">
        <w:t xml:space="preserve">from person to person, the dengue virus is primarily </w:t>
      </w:r>
      <w:r w:rsidR="00FF1605">
        <w:t>transmitted through mosquitoes</w:t>
      </w:r>
      <w:r w:rsidR="00266635" w:rsidRPr="00266635">
        <w:rPr>
          <w:vertAlign w:val="superscript"/>
        </w:rPr>
        <w:t>3</w:t>
      </w:r>
      <w:r w:rsidR="00FF1605">
        <w:t xml:space="preserve">. </w:t>
      </w:r>
    </w:p>
    <w:p w:rsidR="00266635" w:rsidRDefault="00266635">
      <w:r>
        <w:tab/>
        <w:t>There are four serotypes of dengue virus, each distinguished by the antigens expressed on its surface, DEN-1, DEN-2, DEN-3, and DEN</w:t>
      </w:r>
      <w:r w:rsidR="0016016C">
        <w:t>-4; r</w:t>
      </w:r>
      <w:r>
        <w:t xml:space="preserve">ecovery from the infection of one serotype grants immunity to that specific </w:t>
      </w:r>
      <w:r w:rsidR="0012090C">
        <w:t>strain</w:t>
      </w:r>
      <w:r>
        <w:t xml:space="preserve">, but </w:t>
      </w:r>
      <w:r w:rsidR="0012090C">
        <w:t xml:space="preserve">unfortunately, </w:t>
      </w:r>
      <w:r>
        <w:t>not to the other serotype</w:t>
      </w:r>
      <w:r w:rsidRPr="00266635">
        <w:rPr>
          <w:vertAlign w:val="superscript"/>
        </w:rPr>
        <w:t>3</w:t>
      </w:r>
      <w:r>
        <w:t xml:space="preserve">. </w:t>
      </w:r>
      <w:r w:rsidR="0012090C">
        <w:t>The t</w:t>
      </w:r>
      <w:r>
        <w:t>r</w:t>
      </w:r>
      <w:r w:rsidR="0012090C">
        <w:t>ansmission of the dengue virus is</w:t>
      </w:r>
      <w:r>
        <w:t xml:space="preserve"> controlled by the feeding preference</w:t>
      </w:r>
      <w:r w:rsidR="0016016C">
        <w:t xml:space="preserve">s of </w:t>
      </w:r>
      <w:r>
        <w:t>mosquito</w:t>
      </w:r>
      <w:r w:rsidR="0012090C">
        <w:t xml:space="preserve">es; the organisms </w:t>
      </w:r>
      <w:r w:rsidR="00D13D79">
        <w:t xml:space="preserve">that mosquitoes feed on are the same </w:t>
      </w:r>
      <w:r w:rsidR="0012090C">
        <w:t>organisms the dengue virus has access to and can potentially infect.</w:t>
      </w:r>
      <w:r w:rsidR="0016016C">
        <w:t xml:space="preserve"> Originally, </w:t>
      </w:r>
      <w:r>
        <w:t>mosquito</w:t>
      </w:r>
      <w:r w:rsidR="0016016C">
        <w:t>es</w:t>
      </w:r>
      <w:r>
        <w:t xml:space="preserve"> </w:t>
      </w:r>
      <w:r w:rsidR="0016016C">
        <w:t>primarily fed on mammals and thus, the transmission cycle of the dengue virus was between mosquitoes and wild animals</w:t>
      </w:r>
      <w:r w:rsidR="0016016C">
        <w:rPr>
          <w:vertAlign w:val="superscript"/>
        </w:rPr>
        <w:t>1</w:t>
      </w:r>
      <w:r w:rsidR="0016016C">
        <w:t>. But as more humans inhabit the natural habitats of mosquitoes and reduce the wildlife populations, mosquitoes have begun to be anthropophilic: they prefer to feed on humans</w:t>
      </w:r>
      <w:r w:rsidR="0016016C">
        <w:rPr>
          <w:vertAlign w:val="superscript"/>
        </w:rPr>
        <w:t>4</w:t>
      </w:r>
      <w:r w:rsidR="0016016C">
        <w:t>.</w:t>
      </w:r>
      <w:r w:rsidR="00D13D79">
        <w:t xml:space="preserve"> As a result, the dengue virus wa</w:t>
      </w:r>
      <w:r w:rsidR="0016016C">
        <w:t>s transmitted to humans and eventually, the dengue virus switch</w:t>
      </w:r>
      <w:r w:rsidR="0012090C">
        <w:t>ed</w:t>
      </w:r>
      <w:r w:rsidR="0016016C">
        <w:t xml:space="preserve"> their hosts to humans</w:t>
      </w:r>
      <w:r w:rsidR="0016016C" w:rsidRPr="0016016C">
        <w:rPr>
          <w:vertAlign w:val="superscript"/>
        </w:rPr>
        <w:t>1</w:t>
      </w:r>
      <w:r w:rsidR="0016016C">
        <w:t xml:space="preserve">. </w:t>
      </w:r>
    </w:p>
    <w:p w:rsidR="00FA1F40" w:rsidRDefault="0012090C">
      <w:r>
        <w:rPr>
          <w:noProof/>
        </w:rPr>
        <mc:AlternateContent>
          <mc:Choice Requires="wps">
            <w:drawing>
              <wp:anchor distT="45720" distB="45720" distL="114300" distR="114300" simplePos="0" relativeHeight="251660288" behindDoc="0" locked="0" layoutInCell="1" allowOverlap="1">
                <wp:simplePos x="0" y="0"/>
                <wp:positionH relativeFrom="margin">
                  <wp:posOffset>1943100</wp:posOffset>
                </wp:positionH>
                <wp:positionV relativeFrom="paragraph">
                  <wp:posOffset>1149350</wp:posOffset>
                </wp:positionV>
                <wp:extent cx="4305300" cy="958850"/>
                <wp:effectExtent l="0" t="0" r="0" b="0"/>
                <wp:wrapThrough wrapText="bothSides">
                  <wp:wrapPolygon edited="0">
                    <wp:start x="0" y="0"/>
                    <wp:lineTo x="0" y="21028"/>
                    <wp:lineTo x="21504" y="21028"/>
                    <wp:lineTo x="2150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58850"/>
                        </a:xfrm>
                        <a:prstGeom prst="rect">
                          <a:avLst/>
                        </a:prstGeom>
                        <a:solidFill>
                          <a:srgbClr val="FFFFFF"/>
                        </a:solidFill>
                        <a:ln w="9525">
                          <a:noFill/>
                          <a:miter lim="800000"/>
                          <a:headEnd/>
                          <a:tailEnd/>
                        </a:ln>
                      </wps:spPr>
                      <wps:txbx>
                        <w:txbxContent>
                          <w:p w:rsidR="00AC5139" w:rsidRPr="00473304" w:rsidRDefault="00AC5139">
                            <w:pPr>
                              <w:rPr>
                                <w:b/>
                                <w:sz w:val="20"/>
                              </w:rPr>
                            </w:pPr>
                            <w:r w:rsidRPr="00473304">
                              <w:rPr>
                                <w:b/>
                                <w:sz w:val="20"/>
                              </w:rPr>
                              <w:t>Figure 1:</w:t>
                            </w:r>
                            <w:r>
                              <w:rPr>
                                <w:b/>
                                <w:sz w:val="20"/>
                              </w:rPr>
                              <w:t xml:space="preserve"> Depiction of the dengue genome with labeled 3’untranslated region (UTR) domains; ORF stands for open reading frame</w:t>
                            </w:r>
                            <w:r w:rsidR="00CC0282">
                              <w:rPr>
                                <w:b/>
                                <w:sz w:val="20"/>
                              </w:rPr>
                              <w:t>.</w:t>
                            </w:r>
                            <w:r w:rsidR="00111DF9">
                              <w:rPr>
                                <w:b/>
                                <w:sz w:val="20"/>
                              </w:rPr>
                              <w:t xml:space="preserve"> Domain I consists of the variable region that can have one or two hair pin loops, Domain II</w:t>
                            </w:r>
                            <w:r w:rsidR="00CC0282">
                              <w:rPr>
                                <w:b/>
                                <w:sz w:val="20"/>
                              </w:rPr>
                              <w:t xml:space="preserve"> </w:t>
                            </w:r>
                            <w:r w:rsidR="00111DF9">
                              <w:rPr>
                                <w:b/>
                                <w:sz w:val="20"/>
                              </w:rPr>
                              <w:t xml:space="preserve">consists of two dumb bell structures, and Domain III consists of a 3’stem loop.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90.5pt;width:339pt;height:7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" stroked="f">
                <v:textbox>
                  <w:txbxContent>
                    <w:p w:rsidR="00AC5139" w:rsidRPr="00473304" w:rsidRDefault="00AC5139">
                      <w:pPr>
                        <w:rPr>
                          <w:b/>
                          <w:sz w:val="20"/>
                        </w:rPr>
                      </w:pPr>
                      <w:r w:rsidRPr="00473304">
                        <w:rPr>
                          <w:b/>
                          <w:sz w:val="20"/>
                        </w:rPr>
                        <w:t>Figure 1:</w:t>
                      </w:r>
                      <w:r>
                        <w:rPr>
                          <w:b/>
                          <w:sz w:val="20"/>
                        </w:rPr>
                        <w:t xml:space="preserve"> Depiction of the dengue genome with labeled 3’untranslated region (UTR) domains; ORF stands for open reading frame</w:t>
                      </w:r>
                      <w:r w:rsidR="00CC0282">
                        <w:rPr>
                          <w:b/>
                          <w:sz w:val="20"/>
                        </w:rPr>
                        <w:t>.</w:t>
                      </w:r>
                      <w:r w:rsidR="00111DF9">
                        <w:rPr>
                          <w:b/>
                          <w:sz w:val="20"/>
                        </w:rPr>
                        <w:t xml:space="preserve"> Domain I consists of the variable region that can have one or two hair pin loops, Domain II</w:t>
                      </w:r>
                      <w:r w:rsidR="00CC0282">
                        <w:rPr>
                          <w:b/>
                          <w:sz w:val="20"/>
                        </w:rPr>
                        <w:t xml:space="preserve"> </w:t>
                      </w:r>
                      <w:r w:rsidR="00111DF9">
                        <w:rPr>
                          <w:b/>
                          <w:sz w:val="20"/>
                        </w:rPr>
                        <w:t xml:space="preserve">consists of two dumb bell structures, and Domain III consists of a 3’stem loop. </w:t>
                      </w:r>
                      <w:bookmarkStart w:id="1" w:name="_GoBack"/>
                      <w:bookmarkEnd w:id="1"/>
                    </w:p>
                  </w:txbxContent>
                </v:textbox>
                <w10:wrap type="through" anchorx="margin"/>
              </v:shape>
            </w:pict>
          </mc:Fallback>
        </mc:AlternateContent>
      </w:r>
      <w:r>
        <w:rPr>
          <w:noProof/>
        </w:rPr>
        <w:drawing>
          <wp:anchor distT="0" distB="0" distL="114300" distR="114300" simplePos="0" relativeHeight="251658240" behindDoc="0" locked="0" layoutInCell="1" allowOverlap="1">
            <wp:simplePos x="0" y="0"/>
            <wp:positionH relativeFrom="column">
              <wp:posOffset>1735455</wp:posOffset>
            </wp:positionH>
            <wp:positionV relativeFrom="paragraph">
              <wp:posOffset>90170</wp:posOffset>
            </wp:positionV>
            <wp:extent cx="4467860" cy="1092200"/>
            <wp:effectExtent l="0" t="0" r="8890" b="0"/>
            <wp:wrapThrough wrapText="bothSides">
              <wp:wrapPolygon edited="0">
                <wp:start x="0" y="0"/>
                <wp:lineTo x="0" y="21098"/>
                <wp:lineTo x="21551" y="21098"/>
                <wp:lineTo x="215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gif"/>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67860" cy="1092200"/>
                    </a:xfrm>
                    <a:prstGeom prst="rect">
                      <a:avLst/>
                    </a:prstGeom>
                  </pic:spPr>
                </pic:pic>
              </a:graphicData>
            </a:graphic>
            <wp14:sizeRelH relativeFrom="page">
              <wp14:pctWidth>0</wp14:pctWidth>
            </wp14:sizeRelH>
            <wp14:sizeRelV relativeFrom="page">
              <wp14:pctHeight>0</wp14:pctHeight>
            </wp14:sizeRelV>
          </wp:anchor>
        </w:drawing>
      </w:r>
      <w:r w:rsidR="0075401E">
        <w:tab/>
        <w:t>Before the dengue virus can infect humans, it needs to successfully infect a</w:t>
      </w:r>
      <w:r w:rsidR="00863ED5">
        <w:t>nd survive in mosquitoes first. Mutations in the dengue genome can allow for the virus to defend against the immune systems of both species</w:t>
      </w:r>
      <w:r w:rsidR="00863ED5" w:rsidRPr="00863ED5">
        <w:rPr>
          <w:vertAlign w:val="superscript"/>
        </w:rPr>
        <w:t>5</w:t>
      </w:r>
      <w:r w:rsidR="00863ED5">
        <w:t>. The dengue genome consists of an open reading frame with a 5’ and 3’ untranslated region (</w:t>
      </w:r>
      <w:r w:rsidR="00863ED5" w:rsidRPr="00863ED5">
        <w:rPr>
          <w:b/>
        </w:rPr>
        <w:t>Figure 1</w:t>
      </w:r>
      <w:r w:rsidR="00863ED5">
        <w:t>)</w:t>
      </w:r>
      <w:r w:rsidR="00863ED5">
        <w:rPr>
          <w:vertAlign w:val="superscript"/>
        </w:rPr>
        <w:t>6</w:t>
      </w:r>
      <w:r w:rsidR="00863ED5">
        <w:t xml:space="preserve">. The untranslated regions (UTR) contain specialized structures </w:t>
      </w:r>
      <w:r>
        <w:t xml:space="preserve">that </w:t>
      </w:r>
      <w:r w:rsidR="00863ED5">
        <w:t>are necessary for viral replication</w:t>
      </w:r>
      <w:r w:rsidR="00863ED5" w:rsidRPr="00863ED5">
        <w:rPr>
          <w:vertAlign w:val="superscript"/>
        </w:rPr>
        <w:t>6</w:t>
      </w:r>
      <w:r w:rsidR="00863ED5">
        <w:t>. The 3’UTR is divided into three domains, all of which contain hair pin structures</w:t>
      </w:r>
      <w:r w:rsidR="00D13D79">
        <w:t xml:space="preserve"> or stem loops</w:t>
      </w:r>
      <w:r w:rsidR="00863ED5">
        <w:t xml:space="preserve"> </w:t>
      </w:r>
      <w:r w:rsidR="00FA1F40">
        <w:t>that can enhance viral processes</w:t>
      </w:r>
      <w:r w:rsidR="00FA1F40" w:rsidRPr="00FA1F40">
        <w:rPr>
          <w:vertAlign w:val="superscript"/>
        </w:rPr>
        <w:t>7</w:t>
      </w:r>
      <w:r w:rsidR="00FA1F40">
        <w:t>. Mutations in the sequences of the 3’UTR structures can allow a dengue virus to successfully infect a host</w:t>
      </w:r>
      <w:r w:rsidR="00FA1F40">
        <w:rPr>
          <w:vertAlign w:val="superscript"/>
        </w:rPr>
        <w:t>8</w:t>
      </w:r>
      <w:r>
        <w:t xml:space="preserve"> such as </w:t>
      </w:r>
      <w:r w:rsidR="00D13D79">
        <w:t>a mosquito</w:t>
      </w:r>
      <w:r w:rsidR="00FA1F40">
        <w:t xml:space="preserve">. However, these mutations are often species-specific, or are only advantageous in a specific host; </w:t>
      </w:r>
      <w:r w:rsidR="00D13D79">
        <w:t>as a result</w:t>
      </w:r>
      <w:r w:rsidR="00FA1F40">
        <w:t>, when the dengue virus is transmitted to a different host, it cannot survive</w:t>
      </w:r>
      <w:r w:rsidR="00FA1F40">
        <w:rPr>
          <w:vertAlign w:val="superscript"/>
        </w:rPr>
        <w:t>9</w:t>
      </w:r>
      <w:r w:rsidR="00FA1F40">
        <w:t>.</w:t>
      </w:r>
    </w:p>
    <w:p w:rsidR="0012090C" w:rsidRDefault="00734368">
      <w:r>
        <w:rPr>
          <w:noProof/>
        </w:rPr>
        <w:lastRenderedPageBreak/>
        <w:drawing>
          <wp:anchor distT="0" distB="0" distL="114300" distR="114300" simplePos="0" relativeHeight="251668480" behindDoc="0" locked="0" layoutInCell="1" allowOverlap="1" wp14:anchorId="759AFE36" wp14:editId="561751D4">
            <wp:simplePos x="0" y="0"/>
            <wp:positionH relativeFrom="margin">
              <wp:posOffset>2423160</wp:posOffset>
            </wp:positionH>
            <wp:positionV relativeFrom="paragraph">
              <wp:posOffset>0</wp:posOffset>
            </wp:positionV>
            <wp:extent cx="3563620" cy="2235200"/>
            <wp:effectExtent l="0" t="0" r="0" b="0"/>
            <wp:wrapThrough wrapText="bothSides">
              <wp:wrapPolygon edited="0">
                <wp:start x="0" y="0"/>
                <wp:lineTo x="0" y="21355"/>
                <wp:lineTo x="21477" y="21355"/>
                <wp:lineTo x="214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NA Genom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620" cy="2235200"/>
                    </a:xfrm>
                    <a:prstGeom prst="rect">
                      <a:avLst/>
                    </a:prstGeom>
                  </pic:spPr>
                </pic:pic>
              </a:graphicData>
            </a:graphic>
            <wp14:sizeRelH relativeFrom="page">
              <wp14:pctWidth>0</wp14:pctWidth>
            </wp14:sizeRelH>
            <wp14:sizeRelV relativeFrom="page">
              <wp14:pctHeight>0</wp14:pctHeight>
            </wp14:sizeRelV>
          </wp:anchor>
        </w:drawing>
      </w:r>
      <w:r w:rsidR="00FA1F40">
        <w:tab/>
        <w:t xml:space="preserve">In order to counter-act </w:t>
      </w:r>
      <w:r w:rsidR="000A0563">
        <w:t>the effects of a species-specific</w:t>
      </w:r>
      <w:r w:rsidR="00FA1F40">
        <w:t xml:space="preserve"> mutation, dengue viruses can have duplications of the </w:t>
      </w:r>
      <w:r w:rsidR="00D13D79">
        <w:t>stem loops</w:t>
      </w:r>
      <w:r w:rsidR="00FA1F40">
        <w:t xml:space="preserve"> of the 3’UTR, specifically, a duplication of the </w:t>
      </w:r>
      <w:r w:rsidR="00D13D79">
        <w:t xml:space="preserve">stem loops </w:t>
      </w:r>
      <w:r w:rsidR="00FA1F40">
        <w:t>of the variable region</w:t>
      </w:r>
      <w:r w:rsidR="0012090C">
        <w:t xml:space="preserve"> (</w:t>
      </w:r>
      <w:r w:rsidR="0012090C">
        <w:rPr>
          <w:b/>
        </w:rPr>
        <w:t>Figure 2</w:t>
      </w:r>
      <w:r w:rsidR="0012090C">
        <w:t>)</w:t>
      </w:r>
      <w:r w:rsidR="00FA1F40" w:rsidRPr="00FA1F40">
        <w:rPr>
          <w:vertAlign w:val="superscript"/>
        </w:rPr>
        <w:t>8</w:t>
      </w:r>
      <w:r w:rsidR="00FA1F40">
        <w:t xml:space="preserve">. </w:t>
      </w:r>
      <w:r w:rsidR="0012090C">
        <w:t>V</w:t>
      </w:r>
      <w:r w:rsidR="00FA1F40">
        <w:t>iruses that have two hosts usually have two stem loops while viruses that only have one host will have one stem loop</w:t>
      </w:r>
      <w:r w:rsidR="000A0563" w:rsidRPr="000A0563">
        <w:rPr>
          <w:vertAlign w:val="superscript"/>
        </w:rPr>
        <w:t>9</w:t>
      </w:r>
      <w:r w:rsidR="00FA1F40">
        <w:t>.</w:t>
      </w:r>
      <w:r w:rsidR="000A0563">
        <w:t xml:space="preserve"> </w:t>
      </w:r>
    </w:p>
    <w:p w:rsidR="00FA1F40" w:rsidRDefault="00D13D79">
      <w:r>
        <w:rPr>
          <w:noProof/>
        </w:rPr>
        <mc:AlternateContent>
          <mc:Choice Requires="wps">
            <w:drawing>
              <wp:anchor distT="45720" distB="45720" distL="114300" distR="114300" simplePos="0" relativeHeight="251670528" behindDoc="0" locked="0" layoutInCell="1" allowOverlap="1" wp14:anchorId="128A8E04" wp14:editId="6876F955">
                <wp:simplePos x="0" y="0"/>
                <wp:positionH relativeFrom="margin">
                  <wp:align>right</wp:align>
                </wp:positionH>
                <wp:positionV relativeFrom="paragraph">
                  <wp:posOffset>140970</wp:posOffset>
                </wp:positionV>
                <wp:extent cx="3422650" cy="431800"/>
                <wp:effectExtent l="0" t="0" r="6350" b="6350"/>
                <wp:wrapThrough wrapText="bothSides">
                  <wp:wrapPolygon edited="0">
                    <wp:start x="0" y="0"/>
                    <wp:lineTo x="0" y="20965"/>
                    <wp:lineTo x="21520" y="20965"/>
                    <wp:lineTo x="2152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431800"/>
                        </a:xfrm>
                        <a:prstGeom prst="rect">
                          <a:avLst/>
                        </a:prstGeom>
                        <a:solidFill>
                          <a:srgbClr val="FFFFFF"/>
                        </a:solidFill>
                        <a:ln w="9525">
                          <a:noFill/>
                          <a:miter lim="800000"/>
                          <a:headEnd/>
                          <a:tailEnd/>
                        </a:ln>
                      </wps:spPr>
                      <wps:txbx>
                        <w:txbxContent>
                          <w:p w:rsidR="0012090C" w:rsidRPr="00473304" w:rsidRDefault="0012090C" w:rsidP="0012090C">
                            <w:pPr>
                              <w:rPr>
                                <w:b/>
                                <w:sz w:val="20"/>
                              </w:rPr>
                            </w:pPr>
                            <w:r>
                              <w:rPr>
                                <w:b/>
                                <w:sz w:val="20"/>
                              </w:rPr>
                              <w:t>Figure 2</w:t>
                            </w:r>
                            <w:r w:rsidRPr="00473304">
                              <w:rPr>
                                <w:b/>
                                <w:sz w:val="20"/>
                              </w:rPr>
                              <w:t>:</w:t>
                            </w:r>
                            <w:r>
                              <w:rPr>
                                <w:b/>
                                <w:sz w:val="20"/>
                              </w:rPr>
                              <w:t xml:space="preserve"> Duplication of the hair pin or the stem loop structure of the variable region of the 3’UTR.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A8E04" id="_x0000_s1027" type="#_x0000_t202" style="position:absolute;margin-left:218.3pt;margin-top:11.1pt;width:269.5pt;height:3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" stroked="f">
                <v:textbox>
                  <w:txbxContent>
                    <w:p w:rsidR="0012090C" w:rsidRPr="00473304" w:rsidRDefault="0012090C" w:rsidP="0012090C">
                      <w:pPr>
                        <w:rPr>
                          <w:b/>
                          <w:sz w:val="20"/>
                        </w:rPr>
                      </w:pPr>
                      <w:r>
                        <w:rPr>
                          <w:b/>
                          <w:sz w:val="20"/>
                        </w:rPr>
                        <w:t>Figure 2</w:t>
                      </w:r>
                      <w:r w:rsidRPr="00473304">
                        <w:rPr>
                          <w:b/>
                          <w:sz w:val="20"/>
                        </w:rPr>
                        <w:t>:</w:t>
                      </w:r>
                      <w:r>
                        <w:rPr>
                          <w:b/>
                          <w:sz w:val="20"/>
                        </w:rPr>
                        <w:t xml:space="preserve"> </w:t>
                      </w:r>
                      <w:r>
                        <w:rPr>
                          <w:b/>
                          <w:sz w:val="20"/>
                        </w:rPr>
                        <w:t>Duplication of the hair pin or the stem loop structure of the variable region of the 3’UTR.</w:t>
                      </w:r>
                      <w:r>
                        <w:rPr>
                          <w:b/>
                          <w:sz w:val="20"/>
                        </w:rPr>
                        <w:t xml:space="preserve"> </w:t>
                      </w:r>
                    </w:p>
                  </w:txbxContent>
                </v:textbox>
                <w10:wrap type="through" anchorx="margin"/>
              </v:shape>
            </w:pict>
          </mc:Fallback>
        </mc:AlternateContent>
      </w:r>
      <w:r w:rsidR="0012090C">
        <w:tab/>
        <w:t xml:space="preserve">The sequences of duplicated stem loops </w:t>
      </w:r>
      <w:r>
        <w:t>are similar giving them the same functions in humans,</w:t>
      </w:r>
      <w:r w:rsidR="000A0563">
        <w:t xml:space="preserve"> </w:t>
      </w:r>
      <w:r w:rsidR="0012090C">
        <w:t xml:space="preserve">however, </w:t>
      </w:r>
      <w:r w:rsidR="000A0563">
        <w:t xml:space="preserve">in mosquitoes, each stem loop has a </w:t>
      </w:r>
      <w:r w:rsidR="0012090C">
        <w:t>specific</w:t>
      </w:r>
      <w:r w:rsidR="000A0563">
        <w:t xml:space="preserve"> function</w:t>
      </w:r>
      <w:r w:rsidRPr="00D13D79">
        <w:rPr>
          <w:vertAlign w:val="superscript"/>
        </w:rPr>
        <w:t>8</w:t>
      </w:r>
      <w:r>
        <w:t>. T</w:t>
      </w:r>
      <w:r w:rsidR="000A0563">
        <w:t>he duplication of the stem loops allows the dengue virus to adapt to the human environment despite</w:t>
      </w:r>
      <w:r w:rsidR="0012090C">
        <w:t xml:space="preserve"> having mutations that are adapted to</w:t>
      </w:r>
      <w:r w:rsidR="00AE6628">
        <w:t xml:space="preserve"> mosquitoes </w:t>
      </w:r>
      <w:r w:rsidR="000A0563">
        <w:t>because the second stem loop mutes the effect of those mutations</w:t>
      </w:r>
      <w:r w:rsidR="000A0563" w:rsidRPr="000A0563">
        <w:rPr>
          <w:vertAlign w:val="superscript"/>
        </w:rPr>
        <w:t>8</w:t>
      </w:r>
      <w:r w:rsidR="000A0563">
        <w:t xml:space="preserve">. </w:t>
      </w:r>
      <w:r>
        <w:t>This doesn’t work, h</w:t>
      </w:r>
      <w:r w:rsidR="000A0563">
        <w:t>owever, the other way around: the second stem loop does not mut</w:t>
      </w:r>
      <w:r w:rsidR="00AE6628">
        <w:t>e mutations that favor humans for a dengue virus present in</w:t>
      </w:r>
      <w:r w:rsidR="000A0563">
        <w:t xml:space="preserve"> mosquitoes</w:t>
      </w:r>
      <w:r w:rsidR="000A0563" w:rsidRPr="000A0563">
        <w:rPr>
          <w:vertAlign w:val="superscript"/>
        </w:rPr>
        <w:t>8</w:t>
      </w:r>
      <w:r w:rsidR="000A0563">
        <w:t xml:space="preserve">. </w:t>
      </w:r>
    </w:p>
    <w:p w:rsidR="008D4B43" w:rsidRDefault="0012090C">
      <w:r>
        <w:rPr>
          <w:noProof/>
        </w:rPr>
        <w:drawing>
          <wp:anchor distT="0" distB="0" distL="114300" distR="114300" simplePos="0" relativeHeight="251661312" behindDoc="0" locked="0" layoutInCell="1" allowOverlap="1">
            <wp:simplePos x="0" y="0"/>
            <wp:positionH relativeFrom="margin">
              <wp:posOffset>3003550</wp:posOffset>
            </wp:positionH>
            <wp:positionV relativeFrom="paragraph">
              <wp:posOffset>397510</wp:posOffset>
            </wp:positionV>
            <wp:extent cx="2813050" cy="1866900"/>
            <wp:effectExtent l="0" t="0" r="6350" b="0"/>
            <wp:wrapThrough wrapText="bothSides">
              <wp:wrapPolygon edited="0">
                <wp:start x="0" y="0"/>
                <wp:lineTo x="0" y="21380"/>
                <wp:lineTo x="21502" y="21380"/>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RN1 Fixed.jpg"/>
                    <pic:cNvPicPr/>
                  </pic:nvPicPr>
                  <pic:blipFill>
                    <a:blip r:embed="rId9">
                      <a:extLst>
                        <a:ext uri="{28A0092B-C50C-407E-A947-70E740481C1C}">
                          <a14:useLocalDpi xmlns:a14="http://schemas.microsoft.com/office/drawing/2010/main" val="0"/>
                        </a:ext>
                      </a:extLst>
                    </a:blip>
                    <a:stretch>
                      <a:fillRect/>
                    </a:stretch>
                  </pic:blipFill>
                  <pic:spPr>
                    <a:xfrm>
                      <a:off x="0" y="0"/>
                      <a:ext cx="2813050" cy="1866900"/>
                    </a:xfrm>
                    <a:prstGeom prst="rect">
                      <a:avLst/>
                    </a:prstGeom>
                  </pic:spPr>
                </pic:pic>
              </a:graphicData>
            </a:graphic>
            <wp14:sizeRelH relativeFrom="margin">
              <wp14:pctWidth>0</wp14:pctWidth>
            </wp14:sizeRelH>
            <wp14:sizeRelV relativeFrom="margin">
              <wp14:pctHeight>0</wp14:pctHeight>
            </wp14:sizeRelV>
          </wp:anchor>
        </w:drawing>
      </w:r>
      <w:r w:rsidR="000A0563">
        <w:tab/>
      </w:r>
      <w:r w:rsidR="00D13D79">
        <w:t xml:space="preserve">Stem loops are also important because they can form small RNA molecules that are </w:t>
      </w:r>
      <w:r w:rsidR="000A0563">
        <w:t xml:space="preserve">called </w:t>
      </w:r>
      <w:proofErr w:type="spellStart"/>
      <w:r w:rsidR="000A0563">
        <w:t>subgenomic</w:t>
      </w:r>
      <w:proofErr w:type="spellEnd"/>
      <w:r w:rsidR="000A0563">
        <w:t xml:space="preserve"> flavivirus RNA, or sfRNA</w:t>
      </w:r>
      <w:r w:rsidR="000A0563" w:rsidRPr="000A0563">
        <w:rPr>
          <w:vertAlign w:val="superscript"/>
        </w:rPr>
        <w:t>8</w:t>
      </w:r>
      <w:r w:rsidR="000A0563">
        <w:t>. These RNA molecules are created wh</w:t>
      </w:r>
      <w:r w:rsidR="00D13D79">
        <w:t>en a host exoribonuclease (XRN1)</w:t>
      </w:r>
      <w:r w:rsidR="000A0563">
        <w:t xml:space="preserve"> a protein that degrades RNA, fails to fully degrade the dengue virus genome. XRN1 </w:t>
      </w:r>
      <w:r w:rsidR="00D13D79">
        <w:t xml:space="preserve">stalls at the stem loop and cleaves the </w:t>
      </w:r>
      <w:r w:rsidR="000A0563">
        <w:t xml:space="preserve">remaining RNA </w:t>
      </w:r>
      <w:r w:rsidR="00D13D79">
        <w:t>which will form</w:t>
      </w:r>
      <w:r w:rsidR="000A0563">
        <w:t xml:space="preserve"> sfRNA (</w:t>
      </w:r>
      <w:r>
        <w:rPr>
          <w:b/>
        </w:rPr>
        <w:t>Figure 3</w:t>
      </w:r>
      <w:r w:rsidR="000A0563">
        <w:t>)</w:t>
      </w:r>
      <w:r w:rsidR="000A0563" w:rsidRPr="000A0563">
        <w:rPr>
          <w:vertAlign w:val="superscript"/>
        </w:rPr>
        <w:t>10</w:t>
      </w:r>
      <w:r w:rsidR="000A0563">
        <w:t>.</w:t>
      </w:r>
      <w:r w:rsidR="008633A4">
        <w:t xml:space="preserve"> </w:t>
      </w:r>
    </w:p>
    <w:p w:rsidR="000A0563" w:rsidRDefault="001A1CF0">
      <w:r>
        <w:rPr>
          <w:noProof/>
        </w:rPr>
        <mc:AlternateContent>
          <mc:Choice Requires="wps">
            <w:drawing>
              <wp:anchor distT="45720" distB="45720" distL="114300" distR="114300" simplePos="0" relativeHeight="251663360" behindDoc="0" locked="0" layoutInCell="1" allowOverlap="1" wp14:anchorId="722AFEA5" wp14:editId="7678028A">
                <wp:simplePos x="0" y="0"/>
                <wp:positionH relativeFrom="margin">
                  <wp:posOffset>2806700</wp:posOffset>
                </wp:positionH>
                <wp:positionV relativeFrom="paragraph">
                  <wp:posOffset>1018540</wp:posOffset>
                </wp:positionV>
                <wp:extent cx="3035300" cy="876300"/>
                <wp:effectExtent l="0" t="0" r="0" b="0"/>
                <wp:wrapThrough wrapText="bothSides">
                  <wp:wrapPolygon edited="0">
                    <wp:start x="0" y="0"/>
                    <wp:lineTo x="0" y="21130"/>
                    <wp:lineTo x="21419" y="21130"/>
                    <wp:lineTo x="2141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876300"/>
                        </a:xfrm>
                        <a:prstGeom prst="rect">
                          <a:avLst/>
                        </a:prstGeom>
                        <a:solidFill>
                          <a:srgbClr val="FFFFFF"/>
                        </a:solidFill>
                        <a:ln w="9525">
                          <a:noFill/>
                          <a:miter lim="800000"/>
                          <a:headEnd/>
                          <a:tailEnd/>
                        </a:ln>
                      </wps:spPr>
                      <wps:txbx>
                        <w:txbxContent>
                          <w:p w:rsidR="00AC5139" w:rsidRPr="00473304" w:rsidRDefault="0012090C" w:rsidP="000A0563">
                            <w:pPr>
                              <w:rPr>
                                <w:b/>
                                <w:sz w:val="20"/>
                              </w:rPr>
                            </w:pPr>
                            <w:r>
                              <w:rPr>
                                <w:b/>
                                <w:sz w:val="20"/>
                              </w:rPr>
                              <w:t>Figure 3</w:t>
                            </w:r>
                            <w:r w:rsidR="00AC5139" w:rsidRPr="00473304">
                              <w:rPr>
                                <w:b/>
                                <w:sz w:val="20"/>
                              </w:rPr>
                              <w:t>:</w:t>
                            </w:r>
                            <w:r w:rsidR="00AC5139">
                              <w:rPr>
                                <w:b/>
                                <w:sz w:val="20"/>
                              </w:rPr>
                              <w:t xml:space="preserve"> Creation of sfRNA. XRN1 cannot fully degrade the dengue vi</w:t>
                            </w:r>
                            <w:r w:rsidR="00111DF9">
                              <w:rPr>
                                <w:b/>
                                <w:sz w:val="20"/>
                              </w:rPr>
                              <w:t>rus genome because it stalls</w:t>
                            </w:r>
                            <w:r w:rsidR="00AC5139">
                              <w:rPr>
                                <w:b/>
                                <w:sz w:val="20"/>
                              </w:rPr>
                              <w:t xml:space="preserve"> at the stem loop of the 3’UTR. The remaining RNA forms </w:t>
                            </w:r>
                            <w:proofErr w:type="spellStart"/>
                            <w:r w:rsidR="00AC5139">
                              <w:rPr>
                                <w:b/>
                                <w:sz w:val="20"/>
                              </w:rPr>
                              <w:t>s</w:t>
                            </w:r>
                            <w:r w:rsidR="00111DF9">
                              <w:rPr>
                                <w:b/>
                                <w:sz w:val="20"/>
                              </w:rPr>
                              <w:t>ubgenomic</w:t>
                            </w:r>
                            <w:proofErr w:type="spellEnd"/>
                            <w:r w:rsidR="00111DF9">
                              <w:rPr>
                                <w:b/>
                                <w:sz w:val="20"/>
                              </w:rPr>
                              <w:t xml:space="preserve"> flavivirus RNA (s</w:t>
                            </w:r>
                            <w:r w:rsidR="00AC5139">
                              <w:rPr>
                                <w:b/>
                                <w:sz w:val="20"/>
                              </w:rPr>
                              <w:t>fRNA</w:t>
                            </w:r>
                            <w:r w:rsidR="00111DF9">
                              <w:rPr>
                                <w:b/>
                                <w:sz w:val="20"/>
                              </w:rPr>
                              <w:t>). Adapted from Figure 1 of Source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AFEA5" id="_x0000_s1028" type="#_x0000_t202" style="position:absolute;margin-left:221pt;margin-top:80.2pt;width:239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" stroked="f">
                <v:textbox>
                  <w:txbxContent>
                    <w:p w:rsidR="00AC5139" w:rsidRPr="00473304" w:rsidRDefault="0012090C" w:rsidP="000A0563">
                      <w:pPr>
                        <w:rPr>
                          <w:b/>
                          <w:sz w:val="20"/>
                        </w:rPr>
                      </w:pPr>
                      <w:r>
                        <w:rPr>
                          <w:b/>
                          <w:sz w:val="20"/>
                        </w:rPr>
                        <w:t>Figure 3</w:t>
                      </w:r>
                      <w:r w:rsidR="00AC5139" w:rsidRPr="00473304">
                        <w:rPr>
                          <w:b/>
                          <w:sz w:val="20"/>
                        </w:rPr>
                        <w:t>:</w:t>
                      </w:r>
                      <w:r w:rsidR="00AC5139">
                        <w:rPr>
                          <w:b/>
                          <w:sz w:val="20"/>
                        </w:rPr>
                        <w:t xml:space="preserve"> Creation of sfRNA. XRN1 cannot fully degrade the dengue vi</w:t>
                      </w:r>
                      <w:r w:rsidR="00111DF9">
                        <w:rPr>
                          <w:b/>
                          <w:sz w:val="20"/>
                        </w:rPr>
                        <w:t>rus genome because it stalls</w:t>
                      </w:r>
                      <w:r w:rsidR="00AC5139">
                        <w:rPr>
                          <w:b/>
                          <w:sz w:val="20"/>
                        </w:rPr>
                        <w:t xml:space="preserve"> at the stem loop of the 3’UTR. The remaining RNA forms </w:t>
                      </w:r>
                      <w:proofErr w:type="spellStart"/>
                      <w:r w:rsidR="00AC5139">
                        <w:rPr>
                          <w:b/>
                          <w:sz w:val="20"/>
                        </w:rPr>
                        <w:t>s</w:t>
                      </w:r>
                      <w:r w:rsidR="00111DF9">
                        <w:rPr>
                          <w:b/>
                          <w:sz w:val="20"/>
                        </w:rPr>
                        <w:t>ubgenomic</w:t>
                      </w:r>
                      <w:proofErr w:type="spellEnd"/>
                      <w:r w:rsidR="00111DF9">
                        <w:rPr>
                          <w:b/>
                          <w:sz w:val="20"/>
                        </w:rPr>
                        <w:t xml:space="preserve"> flavivirus RNA (s</w:t>
                      </w:r>
                      <w:r w:rsidR="00AC5139">
                        <w:rPr>
                          <w:b/>
                          <w:sz w:val="20"/>
                        </w:rPr>
                        <w:t>fRNA</w:t>
                      </w:r>
                      <w:r w:rsidR="00111DF9">
                        <w:rPr>
                          <w:b/>
                          <w:sz w:val="20"/>
                        </w:rPr>
                        <w:t>). Adapted from Figure 1 of Source 10.</w:t>
                      </w:r>
                    </w:p>
                  </w:txbxContent>
                </v:textbox>
                <w10:wrap type="through" anchorx="margin"/>
              </v:shape>
            </w:pict>
          </mc:Fallback>
        </mc:AlternateContent>
      </w:r>
      <w:r w:rsidR="008D4B43">
        <w:tab/>
      </w:r>
      <w:proofErr w:type="gramStart"/>
      <w:r w:rsidR="00111DF9">
        <w:t>sfRNA</w:t>
      </w:r>
      <w:proofErr w:type="gramEnd"/>
      <w:r w:rsidR="00111DF9">
        <w:t xml:space="preserve"> can inhibit interferons, </w:t>
      </w:r>
      <w:r w:rsidR="00803A63">
        <w:t>antiviral signaling protein</w:t>
      </w:r>
      <w:r w:rsidR="00D13D79">
        <w:t>s</w:t>
      </w:r>
      <w:r w:rsidR="00803A63">
        <w:t xml:space="preserve"> that are a part of the host’s immune response </w:t>
      </w:r>
      <w:r w:rsidR="00111DF9">
        <w:t>that detect viruses and can reduce viral replication</w:t>
      </w:r>
      <w:r w:rsidR="008D4B43" w:rsidRPr="008D4B43">
        <w:rPr>
          <w:vertAlign w:val="superscript"/>
        </w:rPr>
        <w:t>11</w:t>
      </w:r>
      <w:r w:rsidR="008D4B43">
        <w:rPr>
          <w:vertAlign w:val="superscript"/>
        </w:rPr>
        <w:t>, 12</w:t>
      </w:r>
      <w:r w:rsidR="00803A63" w:rsidRPr="00803A63">
        <w:t>.</w:t>
      </w:r>
      <w:r w:rsidR="00803A63">
        <w:rPr>
          <w:vertAlign w:val="superscript"/>
        </w:rPr>
        <w:t xml:space="preserve"> </w:t>
      </w:r>
      <w:r w:rsidR="00803A63">
        <w:t>I</w:t>
      </w:r>
      <w:r w:rsidR="008D4B43">
        <w:t xml:space="preserve">nhibition of such proteins </w:t>
      </w:r>
      <w:r w:rsidR="005073FC">
        <w:t xml:space="preserve">can </w:t>
      </w:r>
      <w:r w:rsidR="00803A63">
        <w:t>increases</w:t>
      </w:r>
      <w:r w:rsidR="005073FC">
        <w:t xml:space="preserve"> the</w:t>
      </w:r>
      <w:r w:rsidR="006E05D9">
        <w:t xml:space="preserve"> virulenc</w:t>
      </w:r>
      <w:r w:rsidR="00D13D79">
        <w:t>e</w:t>
      </w:r>
      <w:r w:rsidR="005073FC">
        <w:t xml:space="preserve"> of the virus</w:t>
      </w:r>
      <w:r w:rsidR="006E05D9" w:rsidRPr="006E05D9">
        <w:rPr>
          <w:vertAlign w:val="superscript"/>
        </w:rPr>
        <w:t>13</w:t>
      </w:r>
      <w:r w:rsidR="008D4B43">
        <w:rPr>
          <w:vertAlign w:val="superscript"/>
        </w:rPr>
        <w:t>, 14</w:t>
      </w:r>
      <w:r w:rsidR="006E05D9">
        <w:t>.</w:t>
      </w:r>
    </w:p>
    <w:p w:rsidR="00537862" w:rsidRDefault="005073FC" w:rsidP="00537862">
      <w:r>
        <w:tab/>
        <w:t xml:space="preserve">Chapman et al (2014) tested to see if a viable or stable sfRNA could be produced if it was cleaved at a different stem loop or </w:t>
      </w:r>
      <w:r w:rsidR="00734368">
        <w:t>at any of the other</w:t>
      </w:r>
      <w:r>
        <w:t xml:space="preserve"> structure</w:t>
      </w:r>
      <w:r w:rsidR="00734368">
        <w:t>s</w:t>
      </w:r>
      <w:r>
        <w:t xml:space="preserve"> of the 3’UTR</w:t>
      </w:r>
      <w:r w:rsidRPr="005073FC">
        <w:rPr>
          <w:vertAlign w:val="superscript"/>
        </w:rPr>
        <w:t>10</w:t>
      </w:r>
      <w:r>
        <w:t xml:space="preserve">. To do so, they tested </w:t>
      </w:r>
      <w:r w:rsidR="00D13D79">
        <w:t>the resistance of each structure to XRN1</w:t>
      </w:r>
      <w:r w:rsidR="00734368">
        <w:t xml:space="preserve">; </w:t>
      </w:r>
      <w:r w:rsidR="00537862">
        <w:t>if a</w:t>
      </w:r>
      <w:r w:rsidR="007B18F7">
        <w:t xml:space="preserve"> stem loop wasn’t resistant, then t</w:t>
      </w:r>
      <w:r w:rsidR="00734368">
        <w:t>he XRN1 would be able to completely degrade the viral genome.</w:t>
      </w:r>
      <w:r w:rsidR="007B18F7">
        <w:t xml:space="preserve"> They used a fluorescence-based assay </w:t>
      </w:r>
      <w:r w:rsidR="00D13D79">
        <w:t>in which they attached a fluorescent hair pin loop at the end of the 3’UTR to show XRN1 resistance</w:t>
      </w:r>
      <w:r w:rsidR="00537862">
        <w:t xml:space="preserve"> </w:t>
      </w:r>
      <w:r w:rsidR="001A1CF0">
        <w:t>(</w:t>
      </w:r>
      <w:r w:rsidR="001A1CF0">
        <w:rPr>
          <w:b/>
        </w:rPr>
        <w:t>Figure 4</w:t>
      </w:r>
      <w:r w:rsidR="001A1CF0">
        <w:t>)</w:t>
      </w:r>
      <w:r w:rsidR="00537862">
        <w:t>. If XRN1 couldn’t fully degrade the RNA, the hair p</w:t>
      </w:r>
      <w:r w:rsidR="001A1CF0">
        <w:t>in would remain and show fluorescence. I</w:t>
      </w:r>
      <w:r w:rsidR="00537862">
        <w:t xml:space="preserve">f the RNA </w:t>
      </w:r>
      <w:r w:rsidR="00D13D79">
        <w:t>was</w:t>
      </w:r>
      <w:r w:rsidR="00537862">
        <w:t xml:space="preserve"> degraded, then there would be no </w:t>
      </w:r>
      <w:r w:rsidR="00537862">
        <w:lastRenderedPageBreak/>
        <w:t xml:space="preserve">fluorescence. Chapman et al found that sfRNA that </w:t>
      </w:r>
      <w:r w:rsidR="001A1CF0">
        <w:t xml:space="preserve">either </w:t>
      </w:r>
      <w:r w:rsidR="00537862">
        <w:t xml:space="preserve">started with the first stem loop </w:t>
      </w:r>
      <w:r w:rsidR="001A1CF0">
        <w:t xml:space="preserve">or </w:t>
      </w:r>
      <w:r w:rsidR="00537862">
        <w:t>the second stem loop were both stable and XRN1 resistant. They suggested that having two stem loops might be a “back-up” plan for the dengue virus to ensure that sfRNA will be produced</w:t>
      </w:r>
      <w:r w:rsidR="00537862" w:rsidRPr="00537862">
        <w:rPr>
          <w:vertAlign w:val="superscript"/>
        </w:rPr>
        <w:t>10</w:t>
      </w:r>
      <w:r w:rsidR="00400B1A">
        <w:t>.</w:t>
      </w:r>
    </w:p>
    <w:p w:rsidR="00537862" w:rsidRDefault="00400B1A" w:rsidP="00537862">
      <w:r>
        <w:tab/>
        <w:t>The duplication of stem loops allows for the dengue virus to cycle between two hosts</w:t>
      </w:r>
      <w:r w:rsidRPr="00400B1A">
        <w:rPr>
          <w:vertAlign w:val="superscript"/>
        </w:rPr>
        <w:t>8</w:t>
      </w:r>
      <w:r>
        <w:t xml:space="preserve"> and </w:t>
      </w:r>
      <w:r w:rsidR="00EF0EC4">
        <w:t xml:space="preserve">Chapman’s et al research shows that </w:t>
      </w:r>
      <w:r>
        <w:t>sfRNA can be produced using either stem loop</w:t>
      </w:r>
      <w:r w:rsidRPr="00400B1A">
        <w:rPr>
          <w:vertAlign w:val="superscript"/>
        </w:rPr>
        <w:t>10</w:t>
      </w:r>
      <w:r>
        <w:t xml:space="preserve">. But, does </w:t>
      </w:r>
      <w:r w:rsidR="00EF0EC4">
        <w:t xml:space="preserve">the virulence </w:t>
      </w:r>
      <w:r>
        <w:t xml:space="preserve">of sfRNA change </w:t>
      </w:r>
      <w:r w:rsidR="001A1CF0">
        <w:t xml:space="preserve">if a mosquito-adapted </w:t>
      </w:r>
      <w:r w:rsidR="00EF0EC4">
        <w:t xml:space="preserve">dengue viral genome were placed in human cells? </w:t>
      </w:r>
      <w:r w:rsidR="00D13D79">
        <w:t xml:space="preserve">For a dengue to be adapted to mosquitoes, its stem loops will have mutations that support replication in mosquitoes. </w:t>
      </w:r>
      <w:r>
        <w:t>A duplication of the stem loop would allow for it to infect human cells successfully</w:t>
      </w:r>
      <w:r w:rsidR="00D13D79">
        <w:t xml:space="preserve"> because the presence of a second stem loop mutes the effects of the mutated first stem loop. But, how would the duplication </w:t>
      </w:r>
      <w:r>
        <w:t xml:space="preserve">affect the production of sfRNA in human cells? </w:t>
      </w:r>
      <w:r w:rsidR="001A1CF0">
        <w:t>Would</w:t>
      </w:r>
      <w:r w:rsidR="00D13D79">
        <w:t xml:space="preserve"> sfRNA with only one stem loop</w:t>
      </w:r>
      <w:r>
        <w:t xml:space="preserve"> have no effect in human cells? </w:t>
      </w:r>
    </w:p>
    <w:p w:rsidR="00400B1A" w:rsidRDefault="00400B1A" w:rsidP="00537862">
      <w:pPr>
        <w:rPr>
          <w:b/>
        </w:rPr>
      </w:pPr>
      <w:r>
        <w:rPr>
          <w:b/>
        </w:rPr>
        <w:t>II. Experiment</w:t>
      </w:r>
    </w:p>
    <w:p w:rsidR="00E776B4" w:rsidRPr="00E776B4" w:rsidRDefault="00EF0EC4" w:rsidP="00537862">
      <w:pPr>
        <w:rPr>
          <w:b/>
        </w:rPr>
      </w:pPr>
      <w:r>
        <w:tab/>
        <w:t xml:space="preserve">The purpose of this experiment is to examine the effect the duplication of stem loops has on the virulence of sfRNA of a dengue virus that has switched from a mosquito to a human. Since the dengue virus started in mosquitoes, the virus should have mutations that aids in its infection and replication in mosquito cells. </w:t>
      </w:r>
      <w:r w:rsidR="00E776B4">
        <w:t>Duplication of stem loops does provide an advantage over strains with only one stem loop, but the sequences of the stem loops or the duplication of stem loops should not have an effect on the production of sfRNA. They might, however, have an effect on the virulence of sfRNA.</w:t>
      </w:r>
    </w:p>
    <w:p w:rsidR="00E776B4" w:rsidRPr="00E776B4" w:rsidRDefault="00E776B4" w:rsidP="00537862">
      <w:pPr>
        <w:rPr>
          <w:u w:val="single"/>
        </w:rPr>
      </w:pPr>
      <w:r w:rsidRPr="00E776B4">
        <w:rPr>
          <w:u w:val="single"/>
        </w:rPr>
        <w:t>A. Generation of sfRNA</w:t>
      </w:r>
    </w:p>
    <w:p w:rsidR="00E776B4" w:rsidRDefault="00E776B4" w:rsidP="00537862">
      <w:pPr>
        <w:rPr>
          <w:shd w:val="clear" w:color="auto" w:fill="FFFFFF"/>
        </w:rPr>
      </w:pPr>
      <w:r>
        <w:tab/>
        <w:t xml:space="preserve">The Jamaica/N.1409 strain of DEN-2 will be used to infect </w:t>
      </w:r>
      <w:proofErr w:type="spellStart"/>
      <w:r>
        <w:rPr>
          <w:i/>
        </w:rPr>
        <w:t>Aedes</w:t>
      </w:r>
      <w:proofErr w:type="spellEnd"/>
      <w:r>
        <w:rPr>
          <w:i/>
        </w:rPr>
        <w:t xml:space="preserve"> </w:t>
      </w:r>
      <w:proofErr w:type="spellStart"/>
      <w:r>
        <w:rPr>
          <w:i/>
        </w:rPr>
        <w:t>albopictus</w:t>
      </w:r>
      <w:proofErr w:type="spellEnd"/>
      <w:r>
        <w:rPr>
          <w:i/>
        </w:rPr>
        <w:t xml:space="preserve"> </w:t>
      </w:r>
      <w:r>
        <w:t xml:space="preserve">C6/36 mosquito cells. The viral populations will then be serially passaged in the same cell line for 10 passages; this will allow for strains to develop mutations that enhance its survival in mosquito cells. After 10 passages, the </w:t>
      </w:r>
      <w:r w:rsidR="005C0D0F">
        <w:t>RNA</w:t>
      </w:r>
      <w:r>
        <w:t xml:space="preserve"> in passage 10 </w:t>
      </w:r>
      <w:r w:rsidR="005C0D0F">
        <w:t>will be extracted from C6/36 cells</w:t>
      </w:r>
      <w:r w:rsidR="00AC5139">
        <w:t>.</w:t>
      </w:r>
      <w:r w:rsidR="005C0D0F">
        <w:t xml:space="preserve"> The 5’</w:t>
      </w:r>
      <w:r w:rsidR="003F5D6C">
        <w:t xml:space="preserve"> </w:t>
      </w:r>
      <w:r w:rsidR="005C0D0F">
        <w:t xml:space="preserve">end </w:t>
      </w:r>
      <w:r w:rsidR="00AC5139">
        <w:t xml:space="preserve">will be ligated by an RNA ligase and be used as template for reverse transcription using </w:t>
      </w:r>
      <w:r w:rsidR="003F5D6C">
        <w:t xml:space="preserve">the </w:t>
      </w:r>
      <w:r w:rsidR="00AC5139">
        <w:t xml:space="preserve">primer AVG42 </w:t>
      </w:r>
      <w:r w:rsidR="00AC5139">
        <w:rPr>
          <w:shd w:val="clear" w:color="auto" w:fill="FFFFFF"/>
        </w:rPr>
        <w:t>(GCTGTTTTTTGTTTCGGG)</w:t>
      </w:r>
      <w:r w:rsidR="008D4B43">
        <w:rPr>
          <w:shd w:val="clear" w:color="auto" w:fill="FFFFFF"/>
          <w:vertAlign w:val="superscript"/>
        </w:rPr>
        <w:t>15</w:t>
      </w:r>
      <w:r w:rsidR="00AC5139">
        <w:rPr>
          <w:shd w:val="clear" w:color="auto" w:fill="FFFFFF"/>
        </w:rPr>
        <w:t>. The resulting cD</w:t>
      </w:r>
      <w:r w:rsidR="003F5D6C">
        <w:rPr>
          <w:shd w:val="clear" w:color="auto" w:fill="FFFFFF"/>
        </w:rPr>
        <w:t>NA molecules will be replicated</w:t>
      </w:r>
      <w:r w:rsidR="00AC5139">
        <w:rPr>
          <w:shd w:val="clear" w:color="auto" w:fill="FFFFFF"/>
        </w:rPr>
        <w:t xml:space="preserve"> with PCR using a different set of primers; the DNA will then be gel purified and s</w:t>
      </w:r>
      <w:r w:rsidR="00CC0282">
        <w:rPr>
          <w:shd w:val="clear" w:color="auto" w:fill="FFFFFF"/>
        </w:rPr>
        <w:t xml:space="preserve">equenced using the Sanger </w:t>
      </w:r>
      <w:r w:rsidR="00D13D79">
        <w:rPr>
          <w:shd w:val="clear" w:color="auto" w:fill="FFFFFF"/>
        </w:rPr>
        <w:t>method</w:t>
      </w:r>
      <w:r w:rsidR="00AC5139">
        <w:rPr>
          <w:shd w:val="clear" w:color="auto" w:fill="FFFFFF"/>
        </w:rPr>
        <w:t>, in which a specific dye is used to label each nucleotide of the DNA</w:t>
      </w:r>
      <w:r w:rsidR="008D4B43">
        <w:rPr>
          <w:shd w:val="clear" w:color="auto" w:fill="FFFFFF"/>
          <w:vertAlign w:val="superscript"/>
        </w:rPr>
        <w:t>15</w:t>
      </w:r>
      <w:r w:rsidR="00AC5139">
        <w:rPr>
          <w:shd w:val="clear" w:color="auto" w:fill="FFFFFF"/>
        </w:rPr>
        <w:t xml:space="preserve">. The main concern of this experiment will be the 3’UTR, so the sequence of the mapped genome will be used to construct sfRNAs. </w:t>
      </w:r>
    </w:p>
    <w:p w:rsidR="00FD36FF" w:rsidRPr="00FD36FF" w:rsidRDefault="00FD36FF" w:rsidP="00537862">
      <w:pPr>
        <w:rPr>
          <w:u w:val="single"/>
          <w:shd w:val="clear" w:color="auto" w:fill="FFFFFF"/>
        </w:rPr>
      </w:pPr>
      <w:r w:rsidRPr="00FD36FF">
        <w:rPr>
          <w:u w:val="single"/>
          <w:shd w:val="clear" w:color="auto" w:fill="FFFFFF"/>
        </w:rPr>
        <w:t>B. Test for resistance</w:t>
      </w:r>
    </w:p>
    <w:p w:rsidR="005C0D0F" w:rsidRPr="003A1470" w:rsidRDefault="003A1470" w:rsidP="00537862">
      <w:pPr>
        <w:rPr>
          <w:shd w:val="clear" w:color="auto" w:fill="FFFFFF"/>
        </w:rPr>
      </w:pPr>
      <w:r>
        <w:rPr>
          <w:shd w:val="clear" w:color="auto" w:fill="FFFFFF"/>
        </w:rPr>
        <w:tab/>
        <w:t>Two sfRNAs will be designed</w:t>
      </w:r>
      <w:r w:rsidR="003F5D6C">
        <w:rPr>
          <w:shd w:val="clear" w:color="auto" w:fill="FFFFFF"/>
        </w:rPr>
        <w:t xml:space="preserve"> b</w:t>
      </w:r>
      <w:r w:rsidR="00CC0282">
        <w:rPr>
          <w:shd w:val="clear" w:color="auto" w:fill="FFFFFF"/>
        </w:rPr>
        <w:t>oth</w:t>
      </w:r>
      <w:r w:rsidR="003F5D6C">
        <w:rPr>
          <w:shd w:val="clear" w:color="auto" w:fill="FFFFFF"/>
        </w:rPr>
        <w:t xml:space="preserve"> of which</w:t>
      </w:r>
      <w:r w:rsidR="00CC0282">
        <w:rPr>
          <w:shd w:val="clear" w:color="auto" w:fill="FFFFFF"/>
        </w:rPr>
        <w:t xml:space="preserve"> will resemble the </w:t>
      </w:r>
      <w:r w:rsidR="005D10BE">
        <w:rPr>
          <w:shd w:val="clear" w:color="auto" w:fill="FFFFFF"/>
        </w:rPr>
        <w:t xml:space="preserve">3’UTR portion of the </w:t>
      </w:r>
      <w:r w:rsidR="00CC0282">
        <w:rPr>
          <w:shd w:val="clear" w:color="auto" w:fill="FFFFFF"/>
        </w:rPr>
        <w:t xml:space="preserve">genomes of mosquito-adapted dengue viruses. One sfRNA will have one stem loop, stem loop II, while the second sfRNA will have two stem loops: stem loop I and II. </w:t>
      </w:r>
      <w:r>
        <w:rPr>
          <w:shd w:val="clear" w:color="auto" w:fill="FFFFFF"/>
        </w:rPr>
        <w:t xml:space="preserve">The two sfRNAs will be created by VCU Nucleic Acid Research Facilities. </w:t>
      </w:r>
      <w:r w:rsidR="00CC0282">
        <w:t xml:space="preserve">To test for its viability or exoribonuclease resistance, an XRN1 resistance assay will be done. Each sfRNA will have a 40 nucleotide long </w:t>
      </w:r>
      <w:r w:rsidR="00CC0282">
        <w:lastRenderedPageBreak/>
        <w:t xml:space="preserve">malachite green fluorescent aptamer downstream the RNA and a </w:t>
      </w:r>
      <w:r w:rsidR="00D13D79">
        <w:rPr>
          <w:noProof/>
        </w:rPr>
        <w:drawing>
          <wp:anchor distT="0" distB="0" distL="114300" distR="114300" simplePos="0" relativeHeight="251664384" behindDoc="0" locked="0" layoutInCell="1" allowOverlap="1">
            <wp:simplePos x="0" y="0"/>
            <wp:positionH relativeFrom="margin">
              <wp:posOffset>2546350</wp:posOffset>
            </wp:positionH>
            <wp:positionV relativeFrom="paragraph">
              <wp:posOffset>0</wp:posOffset>
            </wp:positionV>
            <wp:extent cx="3209925" cy="1574800"/>
            <wp:effectExtent l="0" t="0" r="9525" b="6350"/>
            <wp:wrapThrough wrapText="bothSides">
              <wp:wrapPolygon edited="0">
                <wp:start x="0" y="0"/>
                <wp:lineTo x="0" y="21426"/>
                <wp:lineTo x="21536" y="21426"/>
                <wp:lineTo x="215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achite.GIF"/>
                    <pic:cNvPicPr/>
                  </pic:nvPicPr>
                  <pic:blipFill>
                    <a:blip r:embed="rId10">
                      <a:extLst>
                        <a:ext uri="{28A0092B-C50C-407E-A947-70E740481C1C}">
                          <a14:useLocalDpi xmlns:a14="http://schemas.microsoft.com/office/drawing/2010/main" val="0"/>
                        </a:ext>
                      </a:extLst>
                    </a:blip>
                    <a:stretch>
                      <a:fillRect/>
                    </a:stretch>
                  </pic:blipFill>
                  <pic:spPr>
                    <a:xfrm>
                      <a:off x="0" y="0"/>
                      <a:ext cx="3209925" cy="1574800"/>
                    </a:xfrm>
                    <a:prstGeom prst="rect">
                      <a:avLst/>
                    </a:prstGeom>
                  </pic:spPr>
                </pic:pic>
              </a:graphicData>
            </a:graphic>
            <wp14:sizeRelH relativeFrom="margin">
              <wp14:pctWidth>0</wp14:pctWidth>
            </wp14:sizeRelH>
            <wp14:sizeRelV relativeFrom="margin">
              <wp14:pctHeight>0</wp14:pctHeight>
            </wp14:sizeRelV>
          </wp:anchor>
        </w:drawing>
      </w:r>
      <w:r w:rsidR="00CC0282">
        <w:t>leader sequence upstream the RNA (</w:t>
      </w:r>
      <w:r w:rsidR="00734368">
        <w:rPr>
          <w:b/>
        </w:rPr>
        <w:t>Figure 4</w:t>
      </w:r>
      <w:r w:rsidR="00CC0282">
        <w:t>)</w:t>
      </w:r>
      <w:r w:rsidR="003F5D6C" w:rsidRPr="003F5D6C">
        <w:rPr>
          <w:vertAlign w:val="superscript"/>
        </w:rPr>
        <w:t>10</w:t>
      </w:r>
      <w:r w:rsidR="00CC0282">
        <w:t xml:space="preserve">. The sfRNA will be replicated using PCR and the sfRNA will be placed in solution with malachite green dye and </w:t>
      </w:r>
      <w:proofErr w:type="spellStart"/>
      <w:r w:rsidR="00CC0282">
        <w:t>rppH</w:t>
      </w:r>
      <w:proofErr w:type="spellEnd"/>
      <w:r w:rsidR="00CC0282">
        <w:t xml:space="preserve"> (an enzyme that removes phosphate from mRNA and triggers its degradation</w:t>
      </w:r>
      <w:proofErr w:type="gramStart"/>
      <w:r w:rsidR="00CC0282">
        <w:t>)</w:t>
      </w:r>
      <w:r w:rsidR="008D4B43">
        <w:rPr>
          <w:vertAlign w:val="superscript"/>
        </w:rPr>
        <w:t>16</w:t>
      </w:r>
      <w:proofErr w:type="gramEnd"/>
      <w:r w:rsidR="00CC0282">
        <w:t xml:space="preserve"> and XRN1 will be </w:t>
      </w:r>
      <w:r w:rsidR="00D13D79">
        <w:rPr>
          <w:noProof/>
        </w:rPr>
        <mc:AlternateContent>
          <mc:Choice Requires="wps">
            <w:drawing>
              <wp:anchor distT="45720" distB="45720" distL="114300" distR="114300" simplePos="0" relativeHeight="251666432" behindDoc="0" locked="0" layoutInCell="1" allowOverlap="1" wp14:anchorId="42C546AA" wp14:editId="2534B29D">
                <wp:simplePos x="0" y="0"/>
                <wp:positionH relativeFrom="margin">
                  <wp:posOffset>2546350</wp:posOffset>
                </wp:positionH>
                <wp:positionV relativeFrom="paragraph">
                  <wp:posOffset>1812290</wp:posOffset>
                </wp:positionV>
                <wp:extent cx="3600450" cy="717550"/>
                <wp:effectExtent l="0" t="0" r="0" b="6350"/>
                <wp:wrapThrough wrapText="bothSides">
                  <wp:wrapPolygon edited="0">
                    <wp:start x="0" y="0"/>
                    <wp:lineTo x="0" y="21218"/>
                    <wp:lineTo x="21486" y="21218"/>
                    <wp:lineTo x="2148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17550"/>
                        </a:xfrm>
                        <a:prstGeom prst="rect">
                          <a:avLst/>
                        </a:prstGeom>
                        <a:solidFill>
                          <a:srgbClr val="FFFFFF"/>
                        </a:solidFill>
                        <a:ln w="9525">
                          <a:noFill/>
                          <a:miter lim="800000"/>
                          <a:headEnd/>
                          <a:tailEnd/>
                        </a:ln>
                      </wps:spPr>
                      <wps:txbx>
                        <w:txbxContent>
                          <w:p w:rsidR="00AC5139" w:rsidRPr="00473304" w:rsidRDefault="00734368" w:rsidP="00635518">
                            <w:pPr>
                              <w:rPr>
                                <w:b/>
                                <w:sz w:val="20"/>
                              </w:rPr>
                            </w:pPr>
                            <w:r>
                              <w:rPr>
                                <w:b/>
                                <w:sz w:val="20"/>
                              </w:rPr>
                              <w:t>Figure 4</w:t>
                            </w:r>
                            <w:r w:rsidR="00AC5139" w:rsidRPr="00473304">
                              <w:rPr>
                                <w:b/>
                                <w:sz w:val="20"/>
                              </w:rPr>
                              <w:t>:</w:t>
                            </w:r>
                            <w:r w:rsidR="00AC5139">
                              <w:rPr>
                                <w:b/>
                                <w:sz w:val="20"/>
                              </w:rPr>
                              <w:t xml:space="preserve"> XRN1 resistance assay. If sfRNA shows resistance, fluorescence will be maintained. If resistance is not shown (bottom), the sfRNA will be degraded and fluorescence lost. Adapted from Fig 6C from Source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546AA" id="_x0000_s1029" type="#_x0000_t202" style="position:absolute;margin-left:200.5pt;margin-top:142.7pt;width:283.5pt;height:5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" stroked="f">
                <v:textbox>
                  <w:txbxContent>
                    <w:p w:rsidR="00AC5139" w:rsidRPr="00473304" w:rsidRDefault="00734368" w:rsidP="00635518">
                      <w:pPr>
                        <w:rPr>
                          <w:b/>
                          <w:sz w:val="20"/>
                        </w:rPr>
                      </w:pPr>
                      <w:r>
                        <w:rPr>
                          <w:b/>
                          <w:sz w:val="20"/>
                        </w:rPr>
                        <w:t>Figure 4</w:t>
                      </w:r>
                      <w:r w:rsidR="00AC5139" w:rsidRPr="00473304">
                        <w:rPr>
                          <w:b/>
                          <w:sz w:val="20"/>
                        </w:rPr>
                        <w:t>:</w:t>
                      </w:r>
                      <w:r w:rsidR="00AC5139">
                        <w:rPr>
                          <w:b/>
                          <w:sz w:val="20"/>
                        </w:rPr>
                        <w:t xml:space="preserve"> XRN1 resistance assay. If sfRNA shows resistance, fluorescence will be maintained. If resistance is not shown (bottom), the sfRNA will be degraded and fluorescence lost. Adapted from Fig 6C from Source 10</w:t>
                      </w:r>
                    </w:p>
                  </w:txbxContent>
                </v:textbox>
                <w10:wrap type="through" anchorx="margin"/>
              </v:shape>
            </w:pict>
          </mc:Fallback>
        </mc:AlternateContent>
      </w:r>
      <w:r w:rsidR="00CC0282">
        <w:t>added</w:t>
      </w:r>
      <w:r w:rsidR="003F5D6C" w:rsidRPr="003F5D6C">
        <w:rPr>
          <w:vertAlign w:val="superscript"/>
        </w:rPr>
        <w:t>10</w:t>
      </w:r>
      <w:r w:rsidR="00CC0282">
        <w:t xml:space="preserve">. </w:t>
      </w:r>
    </w:p>
    <w:p w:rsidR="00400B1A" w:rsidRDefault="00CC0282" w:rsidP="00537862">
      <w:r>
        <w:tab/>
      </w:r>
      <w:r w:rsidR="00211F3A">
        <w:t>If the solutio</w:t>
      </w:r>
      <w:r w:rsidR="00D13D79">
        <w:t>n is not fluorescent after the XRN1 has been added,</w:t>
      </w:r>
      <w:r w:rsidR="003F5D6C">
        <w:t xml:space="preserve"> then the</w:t>
      </w:r>
      <w:r w:rsidR="00211F3A">
        <w:t xml:space="preserve"> sfRNA and the MG aptamer has been degraded; in other words, the sfRNA was not XRN1 resistant and was not a viable sfRNA. If, however, fluorescence is maintained, then the sfRNA </w:t>
      </w:r>
      <w:r w:rsidR="003F5D6C">
        <w:t>is resistant to XRN1</w:t>
      </w:r>
      <w:r>
        <w:t xml:space="preserve">. </w:t>
      </w:r>
      <w:r w:rsidR="00211F3A">
        <w:t xml:space="preserve">If both of the created sfRNA are shown to be viable, </w:t>
      </w:r>
      <w:r>
        <w:t>then the sfRNA will be treated for virulence.</w:t>
      </w:r>
      <w:r w:rsidR="003F5D6C">
        <w:t xml:space="preserve"> If not, it means that both sfRNA will be degraded in human cells and therefore, will not be virulent.</w:t>
      </w:r>
    </w:p>
    <w:p w:rsidR="00FD36FF" w:rsidRPr="00FD36FF" w:rsidRDefault="00FD36FF" w:rsidP="00537862">
      <w:pPr>
        <w:rPr>
          <w:u w:val="single"/>
        </w:rPr>
      </w:pPr>
      <w:r w:rsidRPr="00FD36FF">
        <w:rPr>
          <w:u w:val="single"/>
        </w:rPr>
        <w:t>C. Test for virulence</w:t>
      </w:r>
    </w:p>
    <w:p w:rsidR="003F5D6C" w:rsidRDefault="00AC269E">
      <w:r>
        <w:tab/>
        <w:t>Type I interferons are responsible for the antiviral response and are often induced by viruses</w:t>
      </w:r>
      <w:r w:rsidRPr="00AC269E">
        <w:rPr>
          <w:vertAlign w:val="superscript"/>
        </w:rPr>
        <w:t>12</w:t>
      </w:r>
      <w:r>
        <w:t>.</w:t>
      </w:r>
      <w:r w:rsidR="003F5D6C">
        <w:t xml:space="preserve"> </w:t>
      </w:r>
      <w:r w:rsidR="002A034B">
        <w:t xml:space="preserve">If the virus is able to infect cells, then toll-like receptors, proteins that play a role in the innate immune response, </w:t>
      </w:r>
      <w:r w:rsidR="00BC6E29">
        <w:t xml:space="preserve">can </w:t>
      </w:r>
      <w:r w:rsidR="002A034B">
        <w:t>recognize conserved viral structures</w:t>
      </w:r>
      <w:r w:rsidR="00B41DD8">
        <w:t xml:space="preserve"> (such as sfRNA)</w:t>
      </w:r>
      <w:r w:rsidR="002A034B">
        <w:t xml:space="preserve">, which </w:t>
      </w:r>
      <w:r w:rsidR="00B41DD8">
        <w:t xml:space="preserve">can </w:t>
      </w:r>
      <w:r w:rsidR="002A034B">
        <w:t>then lead to the secretion of interferons</w:t>
      </w:r>
      <w:r w:rsidR="00BC6E29" w:rsidRPr="00BC6E29">
        <w:rPr>
          <w:vertAlign w:val="superscript"/>
        </w:rPr>
        <w:t>17</w:t>
      </w:r>
      <w:r w:rsidR="002A034B">
        <w:t>. RNA-binding proteins can control and enhance the immune response by Toll-like receptors</w:t>
      </w:r>
      <w:r w:rsidR="00BC6E29" w:rsidRPr="00BC6E29">
        <w:rPr>
          <w:vertAlign w:val="superscript"/>
        </w:rPr>
        <w:t>18</w:t>
      </w:r>
      <w:r w:rsidR="002A034B">
        <w:t xml:space="preserve">. </w:t>
      </w:r>
      <w:r w:rsidR="00DF646E">
        <w:t>RNA-binding</w:t>
      </w:r>
      <w:r w:rsidR="002A034B">
        <w:t xml:space="preserve"> proteins recognize and regulate the decay of target RNA molecules</w:t>
      </w:r>
      <w:r w:rsidR="004D5C29" w:rsidRPr="004D5C29">
        <w:rPr>
          <w:vertAlign w:val="superscript"/>
        </w:rPr>
        <w:t>19</w:t>
      </w:r>
      <w:r w:rsidR="00107478">
        <w:t>; they also regulate cytokine production</w:t>
      </w:r>
      <w:r w:rsidR="004D5C29" w:rsidRPr="004D5C29">
        <w:rPr>
          <w:vertAlign w:val="superscript"/>
        </w:rPr>
        <w:t>18</w:t>
      </w:r>
      <w:r w:rsidR="00107478">
        <w:t>.</w:t>
      </w:r>
      <w:r w:rsidR="00197D9E">
        <w:t xml:space="preserve"> </w:t>
      </w:r>
      <w:proofErr w:type="gramStart"/>
      <w:r w:rsidR="002A034B">
        <w:t>sfRNA</w:t>
      </w:r>
      <w:proofErr w:type="gramEnd"/>
      <w:r w:rsidR="002A034B">
        <w:t xml:space="preserve"> inactivates RNA-binding proteins</w:t>
      </w:r>
      <w:r w:rsidR="00536718">
        <w:t xml:space="preserve"> and thereby, inhibits the expression of interferon genes</w:t>
      </w:r>
      <w:r w:rsidR="00536718" w:rsidRPr="00536718">
        <w:rPr>
          <w:vertAlign w:val="superscript"/>
        </w:rPr>
        <w:t>11</w:t>
      </w:r>
      <w:r w:rsidR="00536718">
        <w:t>. To test for virulence, the two designed sfRNA will be assessed to see if</w:t>
      </w:r>
      <w:r w:rsidR="00DF646E">
        <w:t xml:space="preserve"> they can bind to RNA-binding proteins</w:t>
      </w:r>
      <w:r w:rsidR="00536718">
        <w:t xml:space="preserve"> and causes a decrease in IFN-</w:t>
      </w:r>
      <w:r w:rsidR="00536718">
        <w:rPr>
          <w:rFonts w:cs="Times New Roman"/>
        </w:rPr>
        <w:t>β</w:t>
      </w:r>
      <w:r w:rsidR="00536718">
        <w:t>, a cytokine</w:t>
      </w:r>
      <w:r w:rsidR="00907858">
        <w:t xml:space="preserve"> produced by interferons.</w:t>
      </w:r>
      <w:r w:rsidR="003F5D6C">
        <w:t xml:space="preserve"> </w:t>
      </w:r>
    </w:p>
    <w:p w:rsidR="002A034B" w:rsidRDefault="003F5D6C">
      <w:r>
        <w:tab/>
      </w:r>
      <w:r w:rsidR="00FD36FF">
        <w:t xml:space="preserve">sfRNA will be transfected into human </w:t>
      </w:r>
      <w:r w:rsidR="00907858">
        <w:t>dendritic cells</w:t>
      </w:r>
      <w:r w:rsidR="00BC6E29" w:rsidRPr="00BC6E29">
        <w:rPr>
          <w:vertAlign w:val="superscript"/>
        </w:rPr>
        <w:t>15</w:t>
      </w:r>
      <w:r w:rsidR="00107478">
        <w:t xml:space="preserve"> using a </w:t>
      </w:r>
      <w:r w:rsidR="00107478" w:rsidRPr="00107478">
        <w:rPr>
          <w:i/>
        </w:rPr>
        <w:t>Trans</w:t>
      </w:r>
      <w:r w:rsidR="00107478">
        <w:t>IT-mRNA Transfection Kit</w:t>
      </w:r>
      <w:r w:rsidR="004D5C29" w:rsidRPr="004D5C29">
        <w:rPr>
          <w:vertAlign w:val="superscript"/>
        </w:rPr>
        <w:t>20</w:t>
      </w:r>
      <w:r w:rsidR="00107478">
        <w:t xml:space="preserve">. </w:t>
      </w:r>
      <w:r w:rsidR="002A034B">
        <w:t>Once in the dendritic cells, Toll-like receptors, in parti</w:t>
      </w:r>
      <w:r w:rsidR="00DF646E">
        <w:t>cular, Toll-like receptor 3, should</w:t>
      </w:r>
      <w:r w:rsidR="002A034B">
        <w:t xml:space="preserve"> recognize sfRNA and secrete interferons</w:t>
      </w:r>
      <w:r w:rsidR="004D5C29" w:rsidRPr="004D5C29">
        <w:rPr>
          <w:vertAlign w:val="superscript"/>
        </w:rPr>
        <w:t>21</w:t>
      </w:r>
      <w:r w:rsidR="002A034B">
        <w:t xml:space="preserve">. The interferons then will produce cytokine </w:t>
      </w:r>
      <w:r w:rsidR="002A034B">
        <w:t>IFN-</w:t>
      </w:r>
      <w:r w:rsidR="002A034B">
        <w:rPr>
          <w:rFonts w:cs="Times New Roman"/>
        </w:rPr>
        <w:t>β</w:t>
      </w:r>
      <w:r w:rsidR="004D5C29" w:rsidRPr="004D5C29">
        <w:rPr>
          <w:rFonts w:cs="Times New Roman"/>
          <w:vertAlign w:val="superscript"/>
        </w:rPr>
        <w:t>21</w:t>
      </w:r>
      <w:r w:rsidR="002A034B">
        <w:rPr>
          <w:rFonts w:cs="Times New Roman"/>
        </w:rPr>
        <w:t xml:space="preserve">. As a part of this response, RNA-binding proteins will attempt to degrade sfRNA, </w:t>
      </w:r>
      <w:r w:rsidR="00DF646E">
        <w:rPr>
          <w:rFonts w:cs="Times New Roman"/>
        </w:rPr>
        <w:t xml:space="preserve">and </w:t>
      </w:r>
      <w:r w:rsidR="002A034B">
        <w:rPr>
          <w:rFonts w:cs="Times New Roman"/>
        </w:rPr>
        <w:t xml:space="preserve">if it can, there will be high levels of </w:t>
      </w:r>
      <w:r w:rsidR="002A034B">
        <w:t>IFN-</w:t>
      </w:r>
      <w:r w:rsidR="002A034B">
        <w:rPr>
          <w:rFonts w:cs="Times New Roman"/>
        </w:rPr>
        <w:t>β</w:t>
      </w:r>
      <w:r w:rsidR="002A034B">
        <w:rPr>
          <w:rFonts w:cs="Times New Roman"/>
        </w:rPr>
        <w:t xml:space="preserve">. </w:t>
      </w:r>
      <w:r w:rsidR="00DF646E">
        <w:rPr>
          <w:rFonts w:cs="Times New Roman"/>
        </w:rPr>
        <w:t>However, i</w:t>
      </w:r>
      <w:r w:rsidR="002A034B">
        <w:rPr>
          <w:rFonts w:cs="Times New Roman"/>
        </w:rPr>
        <w:t xml:space="preserve">f sfRNA can inhibit RNA-binding proteins, then the RNA-binding proteins cannot enhance the immune response and therefore, there will be low levels of </w:t>
      </w:r>
      <w:r w:rsidR="002A034B">
        <w:t>IFN-</w:t>
      </w:r>
      <w:r w:rsidR="002A034B">
        <w:rPr>
          <w:rFonts w:cs="Times New Roman"/>
        </w:rPr>
        <w:t>β</w:t>
      </w:r>
      <w:r w:rsidR="002A034B">
        <w:rPr>
          <w:rFonts w:cs="Times New Roman"/>
        </w:rPr>
        <w:t>.</w:t>
      </w:r>
    </w:p>
    <w:p w:rsidR="00FD36FF" w:rsidRDefault="002A034B">
      <w:pPr>
        <w:rPr>
          <w:rFonts w:cs="Times New Roman"/>
        </w:rPr>
      </w:pPr>
      <w:r>
        <w:tab/>
      </w:r>
      <w:r w:rsidR="00FD36FF">
        <w:t>IFN-</w:t>
      </w:r>
      <w:r w:rsidR="00FD36FF">
        <w:rPr>
          <w:rFonts w:cs="Times New Roman"/>
        </w:rPr>
        <w:t>β levels in the serum will be calculated using ELISA, an enzyme-linked immunosorbent assay that can detect the presence of antib</w:t>
      </w:r>
      <w:r w:rsidR="00BC6E29">
        <w:rPr>
          <w:rFonts w:cs="Times New Roman"/>
        </w:rPr>
        <w:t>odies, peptides, or proteins</w:t>
      </w:r>
      <w:r w:rsidR="004D5C29" w:rsidRPr="004D5C29">
        <w:rPr>
          <w:rFonts w:cs="Times New Roman"/>
          <w:vertAlign w:val="superscript"/>
        </w:rPr>
        <w:t>22</w:t>
      </w:r>
      <w:r w:rsidR="00FD36FF">
        <w:rPr>
          <w:rFonts w:cs="Times New Roman"/>
        </w:rPr>
        <w:t xml:space="preserve">. </w:t>
      </w:r>
      <w:r w:rsidR="004510AF">
        <w:rPr>
          <w:rFonts w:cs="Times New Roman"/>
        </w:rPr>
        <w:t xml:space="preserve">The </w:t>
      </w:r>
      <w:r w:rsidR="00DF646E">
        <w:rPr>
          <w:rFonts w:cs="Times New Roman"/>
        </w:rPr>
        <w:t xml:space="preserve">ELISA </w:t>
      </w:r>
      <w:r w:rsidR="004510AF">
        <w:rPr>
          <w:rFonts w:cs="Times New Roman"/>
        </w:rPr>
        <w:t xml:space="preserve">kit will include detection antibodies to measure </w:t>
      </w:r>
      <w:r w:rsidR="00D60B92">
        <w:t>IFN-</w:t>
      </w:r>
      <w:r w:rsidR="00D60B92">
        <w:rPr>
          <w:rFonts w:cs="Times New Roman"/>
        </w:rPr>
        <w:t>β</w:t>
      </w:r>
      <w:r w:rsidR="00D60B92">
        <w:rPr>
          <w:rFonts w:cs="Times New Roman"/>
        </w:rPr>
        <w:t xml:space="preserve"> levels.  </w:t>
      </w:r>
      <w:r w:rsidR="00907858">
        <w:rPr>
          <w:rFonts w:cs="Times New Roman"/>
        </w:rPr>
        <w:t xml:space="preserve">If </w:t>
      </w:r>
      <w:r w:rsidR="00907858">
        <w:t>IFN-</w:t>
      </w:r>
      <w:r w:rsidR="00907858">
        <w:rPr>
          <w:rFonts w:cs="Times New Roman"/>
        </w:rPr>
        <w:t xml:space="preserve">β levels are high, this means that the sfRNA could not successfully inhibit interferons but if the </w:t>
      </w:r>
      <w:r w:rsidR="00907858">
        <w:t>IFN-</w:t>
      </w:r>
      <w:r w:rsidR="00907858">
        <w:rPr>
          <w:rFonts w:cs="Times New Roman"/>
        </w:rPr>
        <w:t xml:space="preserve">β are low, then the sfRNA were successful. </w:t>
      </w:r>
    </w:p>
    <w:p w:rsidR="00907858" w:rsidRPr="00907858" w:rsidRDefault="00907858">
      <w:pPr>
        <w:rPr>
          <w:rFonts w:cs="Times New Roman"/>
          <w:b/>
        </w:rPr>
      </w:pPr>
      <w:r w:rsidRPr="00907858">
        <w:rPr>
          <w:rFonts w:cs="Times New Roman"/>
          <w:b/>
        </w:rPr>
        <w:lastRenderedPageBreak/>
        <w:t>III. Discussion</w:t>
      </w:r>
    </w:p>
    <w:p w:rsidR="00907858" w:rsidRDefault="00907858">
      <w:pPr>
        <w:rPr>
          <w:rFonts w:cs="Times New Roman"/>
        </w:rPr>
      </w:pPr>
      <w:r>
        <w:rPr>
          <w:rFonts w:cs="Times New Roman"/>
        </w:rPr>
        <w:tab/>
        <w:t xml:space="preserve">If the experiment goes as expected, then the sfRNA with two stem loops will be XRN1 resistant and </w:t>
      </w:r>
      <w:r w:rsidR="003F5D6C">
        <w:rPr>
          <w:rFonts w:cs="Times New Roman"/>
        </w:rPr>
        <w:t>will</w:t>
      </w:r>
      <w:r>
        <w:rPr>
          <w:rFonts w:cs="Times New Roman"/>
        </w:rPr>
        <w:t xml:space="preserve"> show low </w:t>
      </w:r>
      <w:r>
        <w:t>IFN-</w:t>
      </w:r>
      <w:r>
        <w:rPr>
          <w:rFonts w:cs="Times New Roman"/>
        </w:rPr>
        <w:t xml:space="preserve">β levels in the serum </w:t>
      </w:r>
      <w:r w:rsidR="003F5D6C">
        <w:rPr>
          <w:rFonts w:cs="Times New Roman"/>
        </w:rPr>
        <w:t>since</w:t>
      </w:r>
      <w:r>
        <w:rPr>
          <w:rFonts w:cs="Times New Roman"/>
        </w:rPr>
        <w:t xml:space="preserve"> this sfRNA has the advantage of the second stem loop, which mutes the effects of the mosquito-adapted mutations. The sfRNA with one stem loop, on the other hand, will also be XRN1 resistant, but will show high </w:t>
      </w:r>
      <w:r>
        <w:t>IFN-</w:t>
      </w:r>
      <w:r>
        <w:rPr>
          <w:rFonts w:cs="Times New Roman"/>
        </w:rPr>
        <w:t xml:space="preserve">β levels. In this case, the mosquito-adapted mutations will prove to be detrimental and prevent successful inhibition. However, there is a chance that the sfRNA with one stem loop might also show low </w:t>
      </w:r>
      <w:r>
        <w:t>IFN-</w:t>
      </w:r>
      <w:r>
        <w:rPr>
          <w:rFonts w:cs="Times New Roman"/>
        </w:rPr>
        <w:t>β levels. This would mean that the duplication of stem loops has no effect on sfRNA virulence</w:t>
      </w:r>
      <w:r w:rsidR="00201058">
        <w:rPr>
          <w:rFonts w:cs="Times New Roman"/>
        </w:rPr>
        <w:t xml:space="preserve">. Additionally, there is the possibility that no sfRNA decreases </w:t>
      </w:r>
      <w:r w:rsidR="00201058">
        <w:t>IFN-</w:t>
      </w:r>
      <w:r w:rsidR="00201058">
        <w:rPr>
          <w:rFonts w:cs="Times New Roman"/>
        </w:rPr>
        <w:t>β levels suggesting that either the sfRNA produced were not fit for human environments</w:t>
      </w:r>
      <w:r w:rsidR="003F5D6C">
        <w:rPr>
          <w:rFonts w:cs="Times New Roman"/>
        </w:rPr>
        <w:t xml:space="preserve"> (the sfRNA were degraded by the interferons)</w:t>
      </w:r>
      <w:r w:rsidR="00201058">
        <w:rPr>
          <w:rFonts w:cs="Times New Roman"/>
        </w:rPr>
        <w:t xml:space="preserve"> or that perhaps these sfRNA were not responsible for inhibiting the interferons present in the dendritic cells.</w:t>
      </w:r>
    </w:p>
    <w:p w:rsidR="00F83985" w:rsidRDefault="00F83985">
      <w:pPr>
        <w:rPr>
          <w:rFonts w:cs="Times New Roman"/>
        </w:rPr>
      </w:pPr>
      <w:r>
        <w:rPr>
          <w:rFonts w:cs="Times New Roman"/>
        </w:rPr>
        <w:tab/>
      </w:r>
      <w:r w:rsidR="00E46408">
        <w:rPr>
          <w:rFonts w:cs="Times New Roman"/>
        </w:rPr>
        <w:t>It would be</w:t>
      </w:r>
      <w:r w:rsidR="00D13D79">
        <w:rPr>
          <w:rFonts w:cs="Times New Roman"/>
        </w:rPr>
        <w:t xml:space="preserve"> of interest</w:t>
      </w:r>
      <w:r w:rsidR="00E46408">
        <w:rPr>
          <w:rFonts w:cs="Times New Roman"/>
        </w:rPr>
        <w:t xml:space="preserve"> to see the effects of sfRNA </w:t>
      </w:r>
      <w:r w:rsidR="00D13D79">
        <w:rPr>
          <w:rFonts w:cs="Times New Roman"/>
        </w:rPr>
        <w:t xml:space="preserve">when transferred </w:t>
      </w:r>
      <w:r w:rsidR="00E46408">
        <w:rPr>
          <w:rFonts w:cs="Times New Roman"/>
        </w:rPr>
        <w:t>from humans to mosquitoes. Both stem loops serve a purpose in mosquitoes</w:t>
      </w:r>
      <w:r w:rsidR="00E46408" w:rsidRPr="00E46408">
        <w:rPr>
          <w:rFonts w:cs="Times New Roman"/>
          <w:vertAlign w:val="superscript"/>
        </w:rPr>
        <w:t>8</w:t>
      </w:r>
      <w:r w:rsidR="00E46408">
        <w:rPr>
          <w:rFonts w:cs="Times New Roman"/>
        </w:rPr>
        <w:t>, so deleting one loop would certainly have an effect on viral replication or inhibition of the interferon response. Additionally, since the host exoribonuclease XRN1 is responsible for generating sfRNA, a next step would be to find a way to enhance XRN1 to be able to fully d</w:t>
      </w:r>
      <w:r w:rsidR="00B36540">
        <w:rPr>
          <w:rFonts w:cs="Times New Roman"/>
        </w:rPr>
        <w:t>egrade the dengue virus genome, thereby reducing viral replication</w:t>
      </w:r>
      <w:r w:rsidR="00197D9E">
        <w:rPr>
          <w:rFonts w:cs="Times New Roman"/>
          <w:vertAlign w:val="superscript"/>
        </w:rPr>
        <w:t>24</w:t>
      </w:r>
      <w:r w:rsidR="00B36540">
        <w:rPr>
          <w:rFonts w:cs="Times New Roman"/>
        </w:rPr>
        <w:t>. Also, i</w:t>
      </w:r>
      <w:r w:rsidR="00E46408">
        <w:rPr>
          <w:rFonts w:cs="Times New Roman"/>
        </w:rPr>
        <w:t xml:space="preserve">f one-stem loop sfRNA </w:t>
      </w:r>
      <w:r w:rsidR="00B36540">
        <w:rPr>
          <w:rFonts w:cs="Times New Roman"/>
        </w:rPr>
        <w:t>shows a</w:t>
      </w:r>
      <w:r w:rsidR="00E46408">
        <w:rPr>
          <w:rFonts w:cs="Times New Roman"/>
        </w:rPr>
        <w:t xml:space="preserve"> high level of </w:t>
      </w:r>
      <w:r w:rsidR="00E46408">
        <w:t>IFN-</w:t>
      </w:r>
      <w:r w:rsidR="00E46408">
        <w:rPr>
          <w:rFonts w:cs="Times New Roman"/>
        </w:rPr>
        <w:t xml:space="preserve">β, </w:t>
      </w:r>
      <w:r w:rsidR="00D13D79">
        <w:rPr>
          <w:rFonts w:cs="Times New Roman"/>
        </w:rPr>
        <w:t>then it would also be of interest to</w:t>
      </w:r>
      <w:r w:rsidR="00E46408">
        <w:rPr>
          <w:rFonts w:cs="Times New Roman"/>
        </w:rPr>
        <w:t xml:space="preserve"> find a molecule that could degrade or cleave off one of the loops of the sfRNA, thereby diminishing the function of the </w:t>
      </w:r>
      <w:r w:rsidR="00B36540">
        <w:rPr>
          <w:rFonts w:cs="Times New Roman"/>
        </w:rPr>
        <w:t>molecule.</w:t>
      </w:r>
    </w:p>
    <w:p w:rsidR="000B1EAC" w:rsidRDefault="00B36540">
      <w:pPr>
        <w:rPr>
          <w:rFonts w:cs="Times New Roman"/>
        </w:rPr>
      </w:pPr>
      <w:r>
        <w:rPr>
          <w:rFonts w:cs="Times New Roman"/>
        </w:rPr>
        <w:tab/>
      </w:r>
      <w:r w:rsidR="004408E7">
        <w:rPr>
          <w:rFonts w:cs="Times New Roman"/>
        </w:rPr>
        <w:t>Dengue is not a problem limited to the tropics because for over the past fifty years, the virus has spread to countries which never had incidences of the disease before</w:t>
      </w:r>
      <w:r w:rsidR="00197D9E">
        <w:rPr>
          <w:rFonts w:cs="Times New Roman"/>
          <w:vertAlign w:val="superscript"/>
        </w:rPr>
        <w:t>25</w:t>
      </w:r>
      <w:r w:rsidR="004408E7">
        <w:rPr>
          <w:rFonts w:cs="Times New Roman"/>
        </w:rPr>
        <w:t xml:space="preserve">. And as the human population continue to increase, the dengue virus and many other related viruses will fully adapt to humans. </w:t>
      </w:r>
      <w:r w:rsidR="00B54B74">
        <w:rPr>
          <w:rFonts w:cs="Times New Roman"/>
        </w:rPr>
        <w:t>As of now, there is</w:t>
      </w:r>
      <w:r w:rsidR="00D13D79">
        <w:rPr>
          <w:rFonts w:cs="Times New Roman"/>
        </w:rPr>
        <w:t>n’t</w:t>
      </w:r>
      <w:r w:rsidR="00B54B74">
        <w:rPr>
          <w:rFonts w:cs="Times New Roman"/>
        </w:rPr>
        <w:t xml:space="preserve"> fully developed and viable vaccine for the dengue virus; dengue can only be prevented through the means of insecticides</w:t>
      </w:r>
      <w:r w:rsidR="008E6840">
        <w:rPr>
          <w:rFonts w:cs="Times New Roman"/>
        </w:rPr>
        <w:t xml:space="preserve"> and mosquito traps</w:t>
      </w:r>
      <w:r w:rsidR="008E6840" w:rsidRPr="008E6840">
        <w:rPr>
          <w:rFonts w:cs="Times New Roman"/>
          <w:vertAlign w:val="superscript"/>
        </w:rPr>
        <w:t>3</w:t>
      </w:r>
      <w:r w:rsidR="00B54B74">
        <w:rPr>
          <w:rFonts w:cs="Times New Roman"/>
        </w:rPr>
        <w:t>. A treatment for dengue would</w:t>
      </w:r>
      <w:r w:rsidR="008E6840">
        <w:rPr>
          <w:rFonts w:cs="Times New Roman"/>
        </w:rPr>
        <w:t xml:space="preserve"> reduce the number of outbreaks or potentially cure those diagnosed with dengue.</w:t>
      </w:r>
    </w:p>
    <w:p w:rsidR="000B1EAC" w:rsidRDefault="000B1EAC">
      <w:pPr>
        <w:rPr>
          <w:rFonts w:cs="Times New Roman"/>
        </w:rPr>
      </w:pPr>
      <w:r>
        <w:rPr>
          <w:rFonts w:cs="Times New Roman"/>
        </w:rPr>
        <w:br w:type="page"/>
      </w:r>
    </w:p>
    <w:p w:rsidR="00E46408" w:rsidRDefault="000B1EAC" w:rsidP="000B1EAC">
      <w:pPr>
        <w:jc w:val="center"/>
        <w:rPr>
          <w:rFonts w:cs="Times New Roman"/>
        </w:rPr>
      </w:pPr>
      <w:r>
        <w:rPr>
          <w:rFonts w:cs="Times New Roman"/>
        </w:rPr>
        <w:lastRenderedPageBreak/>
        <w:t>References</w:t>
      </w:r>
    </w:p>
    <w:p w:rsidR="00F85D4E" w:rsidRPr="00F85D4E" w:rsidRDefault="00F85D4E" w:rsidP="00F85D4E">
      <w:pPr>
        <w:pStyle w:val="ListParagraph"/>
        <w:numPr>
          <w:ilvl w:val="0"/>
          <w:numId w:val="9"/>
        </w:numPr>
        <w:rPr>
          <w:rFonts w:cs="Times New Roman"/>
          <w:i/>
          <w:color w:val="auto"/>
        </w:rPr>
      </w:pPr>
      <w:r w:rsidRPr="00F85D4E">
        <w:rPr>
          <w:rStyle w:val="Hyperlink"/>
          <w:rFonts w:cs="Times New Roman"/>
          <w:color w:val="auto"/>
          <w:u w:val="none"/>
        </w:rPr>
        <w:t>Holmes, E.</w:t>
      </w:r>
      <w:r w:rsidRPr="00F85D4E">
        <w:rPr>
          <w:rFonts w:cs="Times New Roman"/>
          <w:color w:val="auto"/>
        </w:rPr>
        <w:t xml:space="preserve"> C. &amp; Twiddy S. S. (2003). The Origin, Emergence, and Evolutionary Genetics of Dengue Virus. </w:t>
      </w:r>
      <w:r w:rsidRPr="00F85D4E">
        <w:rPr>
          <w:rFonts w:cs="Times New Roman"/>
          <w:i/>
          <w:color w:val="auto"/>
        </w:rPr>
        <w:t>Infection, Genetics, and Evolution: Journal of Molecular Epidemiology and Evolutionary Genetics in Infectious Diseases</w:t>
      </w:r>
      <w:r w:rsidRPr="00F85D4E">
        <w:rPr>
          <w:rFonts w:cs="Times New Roman"/>
          <w:color w:val="auto"/>
        </w:rPr>
        <w:t>, 3, 19-28.</w:t>
      </w:r>
      <w:r w:rsidRPr="00F85D4E">
        <w:rPr>
          <w:rFonts w:cs="Times New Roman"/>
          <w:i/>
          <w:color w:val="auto"/>
        </w:rPr>
        <w:t xml:space="preserve"> </w:t>
      </w:r>
      <w:r w:rsidR="00425D3C">
        <w:rPr>
          <w:rFonts w:cs="Times New Roman"/>
          <w:color w:val="auto"/>
        </w:rPr>
        <w:t xml:space="preserve">Retrieved from: </w:t>
      </w:r>
      <w:hyperlink r:id="rId11" w:history="1">
        <w:r w:rsidRPr="00F85D4E">
          <w:rPr>
            <w:rStyle w:val="Hyperlink"/>
            <w:rFonts w:cs="Times New Roman"/>
          </w:rPr>
          <w:t>https://www.ncbi.nlm.nih.gov/pubmed/12797969</w:t>
        </w:r>
      </w:hyperlink>
      <w:r w:rsidRPr="00F85D4E">
        <w:rPr>
          <w:rFonts w:cs="Times New Roman"/>
        </w:rPr>
        <w:t xml:space="preserve"> </w:t>
      </w:r>
    </w:p>
    <w:p w:rsidR="000B1EAC" w:rsidRPr="00FE682F" w:rsidRDefault="005333D8" w:rsidP="005333D8">
      <w:pPr>
        <w:pStyle w:val="ListParagraph"/>
        <w:numPr>
          <w:ilvl w:val="0"/>
          <w:numId w:val="9"/>
        </w:numPr>
        <w:spacing w:line="240" w:lineRule="auto"/>
        <w:rPr>
          <w:rFonts w:cs="Times New Roman"/>
        </w:rPr>
      </w:pPr>
      <w:r>
        <w:rPr>
          <w:rFonts w:cs="Times New Roman"/>
        </w:rPr>
        <w:t xml:space="preserve">Dengue and severe dengue. (2017, April) Retrieved from </w:t>
      </w:r>
      <w:hyperlink r:id="rId12" w:history="1">
        <w:r w:rsidRPr="00836823">
          <w:rPr>
            <w:rStyle w:val="Hyperlink"/>
            <w:rFonts w:cs="Times New Roman"/>
          </w:rPr>
          <w:t>http://www.who.int/mediacentre/factsheets/fs117/en/</w:t>
        </w:r>
      </w:hyperlink>
      <w:r>
        <w:rPr>
          <w:rFonts w:cs="Times New Roman"/>
        </w:rPr>
        <w:t xml:space="preserve"> </w:t>
      </w:r>
    </w:p>
    <w:p w:rsidR="000B1EAC" w:rsidRDefault="000B1EAC" w:rsidP="000B1EAC">
      <w:pPr>
        <w:pStyle w:val="ListParagraph"/>
        <w:numPr>
          <w:ilvl w:val="0"/>
          <w:numId w:val="9"/>
        </w:numPr>
        <w:spacing w:line="240" w:lineRule="auto"/>
        <w:rPr>
          <w:rFonts w:cs="Times New Roman"/>
        </w:rPr>
      </w:pPr>
      <w:r w:rsidRPr="00FE682F">
        <w:rPr>
          <w:rFonts w:cs="Times New Roman"/>
        </w:rPr>
        <w:t xml:space="preserve">Mackenzie, J. S., Gubler, D. J., &amp; Petersen, L. R. (2004). Emerging flaviviruses: the spread and resurgence of Japanese encephalitis, West Nile, and dengue Viruses. Nature Medicine Supplement. 10, S98-109. Retrieved from </w:t>
      </w:r>
      <w:hyperlink r:id="rId13" w:history="1">
        <w:r w:rsidRPr="00836823">
          <w:rPr>
            <w:rStyle w:val="Hyperlink"/>
            <w:rFonts w:cs="Times New Roman"/>
          </w:rPr>
          <w:t>http://www.nature.com/nm/journal/v10/n12s/full/nm1144.html</w:t>
        </w:r>
      </w:hyperlink>
    </w:p>
    <w:p w:rsidR="000B1EAC" w:rsidRDefault="000B1EAC" w:rsidP="000B1EAC">
      <w:pPr>
        <w:pStyle w:val="ListParagraph"/>
        <w:numPr>
          <w:ilvl w:val="0"/>
          <w:numId w:val="9"/>
        </w:numPr>
        <w:spacing w:line="240" w:lineRule="auto"/>
        <w:rPr>
          <w:rFonts w:cs="Times New Roman"/>
        </w:rPr>
      </w:pPr>
      <w:r w:rsidRPr="00D33B55">
        <w:rPr>
          <w:rFonts w:cs="Times New Roman"/>
        </w:rPr>
        <w:t xml:space="preserve">Steiger, M. D., Ritchie A. S., &amp; Laurance G.W. S. (2016). Land use influences mosquito communities and disease risk on remote tropical islands: a case study using a novel sampling technique. </w:t>
      </w:r>
      <w:r w:rsidRPr="00D33B55">
        <w:rPr>
          <w:rFonts w:cs="Times New Roman"/>
          <w:i/>
        </w:rPr>
        <w:t>The American Journal of Medicine and Hygiene</w:t>
      </w:r>
      <w:r w:rsidRPr="00D33B55">
        <w:rPr>
          <w:rFonts w:cs="Times New Roman"/>
        </w:rPr>
        <w:t xml:space="preserve">, </w:t>
      </w:r>
      <w:r w:rsidRPr="00D33B55">
        <w:rPr>
          <w:rFonts w:cs="Times New Roman"/>
          <w:i/>
        </w:rPr>
        <w:t>94</w:t>
      </w:r>
      <w:r w:rsidRPr="00D33B55">
        <w:rPr>
          <w:rFonts w:cs="Times New Roman"/>
        </w:rPr>
        <w:t>, 314-321. doi: 10.4269/ajtmh.15-0161</w:t>
      </w:r>
    </w:p>
    <w:p w:rsidR="000B1EAC" w:rsidRDefault="000B1EAC" w:rsidP="000B1EAC">
      <w:pPr>
        <w:pStyle w:val="ListParagraph"/>
        <w:numPr>
          <w:ilvl w:val="0"/>
          <w:numId w:val="9"/>
        </w:numPr>
        <w:rPr>
          <w:rStyle w:val="Hyperlink"/>
          <w:rFonts w:cs="Times New Roman"/>
        </w:rPr>
      </w:pPr>
      <w:r w:rsidRPr="00D45998">
        <w:rPr>
          <w:rStyle w:val="Hyperlink"/>
          <w:rFonts w:cs="Times New Roman"/>
          <w:color w:val="auto"/>
          <w:u w:val="none"/>
        </w:rPr>
        <w:t xml:space="preserve">Göertz. G. P., Fros, J. J., Miesen, P., Vogels, C. B., van der Bent, M. L., Geertsema, C.,…Pijlman, G.P. (2016). Noncoding Subgenomic Flavivirus RNA is </w:t>
      </w:r>
      <w:proofErr w:type="gramStart"/>
      <w:r w:rsidRPr="00D45998">
        <w:rPr>
          <w:rStyle w:val="Hyperlink"/>
          <w:rFonts w:cs="Times New Roman"/>
          <w:color w:val="auto"/>
          <w:u w:val="none"/>
        </w:rPr>
        <w:t>Processed</w:t>
      </w:r>
      <w:proofErr w:type="gramEnd"/>
      <w:r w:rsidRPr="00D45998">
        <w:rPr>
          <w:rStyle w:val="Hyperlink"/>
          <w:rFonts w:cs="Times New Roman"/>
          <w:color w:val="auto"/>
          <w:u w:val="none"/>
        </w:rPr>
        <w:t xml:space="preserve"> by the Mosquito RNA Interference Machinery and Determines West Nile Virus Transmission by Culex pipiens Mosquitoes. </w:t>
      </w:r>
      <w:r w:rsidRPr="00D45998">
        <w:rPr>
          <w:rStyle w:val="Hyperlink"/>
          <w:rFonts w:cs="Times New Roman"/>
          <w:i/>
          <w:color w:val="auto"/>
          <w:u w:val="none"/>
        </w:rPr>
        <w:t>Journal of Virology</w:t>
      </w:r>
      <w:r w:rsidRPr="00D45998">
        <w:rPr>
          <w:rStyle w:val="Hyperlink"/>
          <w:rFonts w:cs="Times New Roman"/>
          <w:color w:val="auto"/>
          <w:u w:val="none"/>
        </w:rPr>
        <w:t xml:space="preserve">, 90, 10145-10159. </w:t>
      </w:r>
      <w:r w:rsidR="00425D3C">
        <w:rPr>
          <w:rStyle w:val="Hyperlink"/>
          <w:rFonts w:cs="Times New Roman"/>
          <w:color w:val="auto"/>
          <w:u w:val="none"/>
        </w:rPr>
        <w:t xml:space="preserve">Retrieved from: </w:t>
      </w:r>
      <w:hyperlink r:id="rId14" w:history="1">
        <w:r w:rsidRPr="00D45998">
          <w:rPr>
            <w:rStyle w:val="Hyperlink"/>
            <w:rFonts w:cs="Times New Roman"/>
          </w:rPr>
          <w:t>https://www.ncbi.nlm.nih.gov/pubmed/27581979</w:t>
        </w:r>
      </w:hyperlink>
    </w:p>
    <w:p w:rsidR="005333D8" w:rsidRPr="005333D8" w:rsidRDefault="000B1EAC" w:rsidP="005333D8">
      <w:pPr>
        <w:pStyle w:val="ListParagraph"/>
        <w:numPr>
          <w:ilvl w:val="0"/>
          <w:numId w:val="9"/>
        </w:numPr>
        <w:rPr>
          <w:rStyle w:val="Hyperlink"/>
          <w:rFonts w:cs="Times New Roman"/>
          <w:color w:val="000000"/>
          <w:u w:val="none"/>
        </w:rPr>
      </w:pPr>
      <w:r w:rsidRPr="00D45998">
        <w:rPr>
          <w:rFonts w:cs="Times New Roman"/>
        </w:rPr>
        <w:t xml:space="preserve">Alvarez, D. E., De </w:t>
      </w:r>
      <w:proofErr w:type="spellStart"/>
      <w:r w:rsidRPr="00D45998">
        <w:rPr>
          <w:rFonts w:cs="Times New Roman"/>
        </w:rPr>
        <w:t>Lella</w:t>
      </w:r>
      <w:proofErr w:type="spellEnd"/>
      <w:r w:rsidRPr="00D45998">
        <w:rPr>
          <w:rFonts w:cs="Times New Roman"/>
        </w:rPr>
        <w:t xml:space="preserve"> </w:t>
      </w:r>
      <w:proofErr w:type="spellStart"/>
      <w:r w:rsidRPr="00D45998">
        <w:rPr>
          <w:rFonts w:cs="Times New Roman"/>
        </w:rPr>
        <w:t>Ezcurra</w:t>
      </w:r>
      <w:proofErr w:type="spellEnd"/>
      <w:r w:rsidRPr="00D45998">
        <w:rPr>
          <w:rFonts w:cs="Times New Roman"/>
        </w:rPr>
        <w:t xml:space="preserve">, A. L., </w:t>
      </w:r>
      <w:proofErr w:type="spellStart"/>
      <w:r w:rsidRPr="00D45998">
        <w:rPr>
          <w:rFonts w:cs="Times New Roman"/>
        </w:rPr>
        <w:t>Fucito</w:t>
      </w:r>
      <w:proofErr w:type="spellEnd"/>
      <w:r w:rsidRPr="00D45998">
        <w:rPr>
          <w:rFonts w:cs="Times New Roman"/>
        </w:rPr>
        <w:t xml:space="preserve">, S., &amp; </w:t>
      </w:r>
      <w:proofErr w:type="spellStart"/>
      <w:r w:rsidRPr="00D45998">
        <w:rPr>
          <w:rFonts w:cs="Times New Roman"/>
        </w:rPr>
        <w:t>Gamarnik</w:t>
      </w:r>
      <w:proofErr w:type="spellEnd"/>
      <w:r w:rsidRPr="00D45998">
        <w:rPr>
          <w:rFonts w:cs="Times New Roman"/>
        </w:rPr>
        <w:t xml:space="preserve"> A. V. (2005). Role of RNA Structures Present at the 3’UTR of Dengue Virus on Translation, RNA Synthesis, and Viral Replication. </w:t>
      </w:r>
      <w:r w:rsidRPr="00D45998">
        <w:rPr>
          <w:rFonts w:cs="Times New Roman"/>
          <w:i/>
        </w:rPr>
        <w:t>Virology</w:t>
      </w:r>
      <w:r w:rsidRPr="00D45998">
        <w:rPr>
          <w:rFonts w:cs="Times New Roman"/>
        </w:rPr>
        <w:t xml:space="preserve">, 339, 200-212. </w:t>
      </w:r>
      <w:r w:rsidR="00425D3C">
        <w:rPr>
          <w:rFonts w:cs="Times New Roman"/>
        </w:rPr>
        <w:t xml:space="preserve">Retrieved from: </w:t>
      </w:r>
      <w:hyperlink r:id="rId15" w:history="1">
        <w:r w:rsidRPr="00D45998">
          <w:rPr>
            <w:rStyle w:val="Hyperlink"/>
            <w:rFonts w:cs="Times New Roman"/>
          </w:rPr>
          <w:t>https://www.ncbi.nlm.nih.gov/pubmed/16002117</w:t>
        </w:r>
      </w:hyperlink>
    </w:p>
    <w:p w:rsidR="000B1EAC" w:rsidRPr="005333D8" w:rsidRDefault="005333D8" w:rsidP="005333D8">
      <w:pPr>
        <w:pStyle w:val="ListParagraph"/>
        <w:numPr>
          <w:ilvl w:val="0"/>
          <w:numId w:val="9"/>
        </w:numPr>
        <w:rPr>
          <w:rStyle w:val="Hyperlink"/>
          <w:rFonts w:cs="Times New Roman"/>
          <w:color w:val="000000"/>
          <w:u w:val="none"/>
        </w:rPr>
      </w:pPr>
      <w:proofErr w:type="spellStart"/>
      <w:r w:rsidRPr="005333D8">
        <w:rPr>
          <w:rStyle w:val="Hyperlink"/>
          <w:rFonts w:cs="Times New Roman"/>
          <w:color w:val="auto"/>
          <w:u w:val="none"/>
        </w:rPr>
        <w:t>Gebhard</w:t>
      </w:r>
      <w:proofErr w:type="spellEnd"/>
      <w:r w:rsidRPr="005333D8">
        <w:rPr>
          <w:rStyle w:val="Hyperlink"/>
          <w:rFonts w:cs="Times New Roman"/>
          <w:color w:val="auto"/>
          <w:u w:val="none"/>
        </w:rPr>
        <w:t xml:space="preserve">, G. L., </w:t>
      </w:r>
      <w:proofErr w:type="spellStart"/>
      <w:r w:rsidRPr="005333D8">
        <w:rPr>
          <w:rStyle w:val="Hyperlink"/>
          <w:rFonts w:cs="Times New Roman"/>
          <w:color w:val="auto"/>
          <w:u w:val="none"/>
        </w:rPr>
        <w:t>Filomatori</w:t>
      </w:r>
      <w:proofErr w:type="spellEnd"/>
      <w:r w:rsidRPr="005333D8">
        <w:rPr>
          <w:rStyle w:val="Hyperlink"/>
          <w:rFonts w:cs="Times New Roman"/>
          <w:color w:val="auto"/>
          <w:u w:val="none"/>
        </w:rPr>
        <w:t xml:space="preserve">, C.V., &amp; </w:t>
      </w:r>
      <w:proofErr w:type="spellStart"/>
      <w:r w:rsidRPr="005333D8">
        <w:rPr>
          <w:rStyle w:val="Hyperlink"/>
          <w:rFonts w:cs="Times New Roman"/>
          <w:color w:val="auto"/>
          <w:u w:val="none"/>
        </w:rPr>
        <w:t>Gamarnik</w:t>
      </w:r>
      <w:proofErr w:type="spellEnd"/>
      <w:r w:rsidRPr="005333D8">
        <w:rPr>
          <w:rStyle w:val="Hyperlink"/>
          <w:rFonts w:cs="Times New Roman"/>
          <w:color w:val="auto"/>
          <w:u w:val="none"/>
        </w:rPr>
        <w:t xml:space="preserve">, A. V. (2011). Functional RNA Elements in the Dengue Virus Genome. </w:t>
      </w:r>
      <w:r w:rsidRPr="005333D8">
        <w:rPr>
          <w:rStyle w:val="Hyperlink"/>
          <w:rFonts w:cs="Times New Roman"/>
          <w:i/>
          <w:color w:val="auto"/>
          <w:u w:val="none"/>
        </w:rPr>
        <w:t>Viruses</w:t>
      </w:r>
      <w:r w:rsidRPr="005333D8">
        <w:rPr>
          <w:rStyle w:val="Hyperlink"/>
          <w:rFonts w:cs="Times New Roman"/>
          <w:color w:val="auto"/>
          <w:u w:val="none"/>
        </w:rPr>
        <w:t xml:space="preserve">, 3. </w:t>
      </w:r>
      <w:proofErr w:type="gramStart"/>
      <w:r>
        <w:rPr>
          <w:rStyle w:val="Hyperlink"/>
          <w:rFonts w:cs="Times New Roman"/>
          <w:color w:val="auto"/>
          <w:u w:val="none"/>
        </w:rPr>
        <w:t>d</w:t>
      </w:r>
      <w:r w:rsidRPr="005333D8">
        <w:rPr>
          <w:rStyle w:val="Hyperlink"/>
          <w:rFonts w:cs="Times New Roman"/>
          <w:color w:val="auto"/>
          <w:u w:val="none"/>
        </w:rPr>
        <w:t>oi</w:t>
      </w:r>
      <w:proofErr w:type="gramEnd"/>
      <w:r w:rsidRPr="005333D8">
        <w:rPr>
          <w:rStyle w:val="Hyperlink"/>
          <w:rFonts w:cs="Times New Roman"/>
          <w:color w:val="auto"/>
          <w:u w:val="none"/>
        </w:rPr>
        <w:t xml:space="preserve">: </w:t>
      </w:r>
      <w:hyperlink r:id="rId16" w:tgtFrame="pmc_ext" w:history="1">
        <w:r w:rsidRPr="005333D8">
          <w:rPr>
            <w:rStyle w:val="Hyperlink"/>
            <w:color w:val="auto"/>
            <w:u w:val="none"/>
          </w:rPr>
          <w:t>10.3390/v3091739</w:t>
        </w:r>
      </w:hyperlink>
      <w:r>
        <w:rPr>
          <w:color w:val="auto"/>
        </w:rPr>
        <w:t>.</w:t>
      </w:r>
      <w:r>
        <w:rPr>
          <w:rStyle w:val="Hyperlink"/>
          <w:rFonts w:cs="Times New Roman"/>
          <w:color w:val="000000"/>
          <w:u w:val="none"/>
        </w:rPr>
        <w:t xml:space="preserve"> </w:t>
      </w:r>
      <w:r w:rsidR="00425D3C">
        <w:rPr>
          <w:rStyle w:val="Hyperlink"/>
          <w:rFonts w:cs="Times New Roman"/>
          <w:color w:val="000000"/>
          <w:u w:val="none"/>
        </w:rPr>
        <w:t xml:space="preserve">Retrieved from: </w:t>
      </w:r>
      <w:r w:rsidR="000B1EAC" w:rsidRPr="005333D8">
        <w:rPr>
          <w:rStyle w:val="Hyperlink"/>
          <w:rFonts w:cs="Times New Roman"/>
        </w:rPr>
        <w:t>https://www.ncbi.nlm.nih.gov/pmc/articles/PMC3187688/</w:t>
      </w:r>
    </w:p>
    <w:p w:rsidR="000B1EAC" w:rsidRDefault="005333D8" w:rsidP="000B1EAC">
      <w:pPr>
        <w:pStyle w:val="ListParagraph"/>
        <w:numPr>
          <w:ilvl w:val="0"/>
          <w:numId w:val="9"/>
        </w:numPr>
        <w:spacing w:line="240" w:lineRule="auto"/>
        <w:rPr>
          <w:rFonts w:cs="Times New Roman"/>
        </w:rPr>
      </w:pPr>
      <w:proofErr w:type="spellStart"/>
      <w:r>
        <w:rPr>
          <w:rFonts w:cs="Times New Roman"/>
        </w:rPr>
        <w:t>Villordo</w:t>
      </w:r>
      <w:proofErr w:type="spellEnd"/>
      <w:r>
        <w:rPr>
          <w:rFonts w:cs="Times New Roman"/>
        </w:rPr>
        <w:t xml:space="preserve">, S. M, </w:t>
      </w:r>
      <w:proofErr w:type="spellStart"/>
      <w:r>
        <w:rPr>
          <w:rFonts w:cs="Times New Roman"/>
        </w:rPr>
        <w:t>Filomatori</w:t>
      </w:r>
      <w:proofErr w:type="spellEnd"/>
      <w:r>
        <w:rPr>
          <w:rFonts w:cs="Times New Roman"/>
        </w:rPr>
        <w:t>,</w:t>
      </w:r>
      <w:r w:rsidR="000B1EAC" w:rsidRPr="003C7496">
        <w:rPr>
          <w:rFonts w:cs="Times New Roman"/>
        </w:rPr>
        <w:t xml:space="preserve"> C. V., Sánchez-Vargas, I., Blair, C. D., &amp; </w:t>
      </w:r>
      <w:proofErr w:type="spellStart"/>
      <w:r w:rsidR="000B1EAC" w:rsidRPr="003C7496">
        <w:rPr>
          <w:rFonts w:cs="Times New Roman"/>
        </w:rPr>
        <w:t>Gamarnik</w:t>
      </w:r>
      <w:proofErr w:type="spellEnd"/>
      <w:r w:rsidR="000B1EAC" w:rsidRPr="003C7496">
        <w:rPr>
          <w:rFonts w:cs="Times New Roman"/>
        </w:rPr>
        <w:t xml:space="preserve">, A.V. (2015). Dengue Virus RNA Structure Specialization Facilitates Host Adaptation. </w:t>
      </w:r>
      <w:r w:rsidR="000B1EAC" w:rsidRPr="003C7496">
        <w:rPr>
          <w:rFonts w:cs="Times New Roman"/>
          <w:i/>
        </w:rPr>
        <w:t>PLOS Pathology</w:t>
      </w:r>
      <w:r>
        <w:rPr>
          <w:rFonts w:cs="Times New Roman"/>
        </w:rPr>
        <w:t>,</w:t>
      </w:r>
      <w:r w:rsidR="000B1EAC" w:rsidRPr="003C7496">
        <w:rPr>
          <w:rFonts w:cs="Times New Roman"/>
        </w:rPr>
        <w:t xml:space="preserve"> 11.  </w:t>
      </w:r>
      <w:proofErr w:type="gramStart"/>
      <w:r w:rsidR="000B1EAC" w:rsidRPr="003C7496">
        <w:rPr>
          <w:rFonts w:cs="Times New Roman"/>
        </w:rPr>
        <w:t>doi</w:t>
      </w:r>
      <w:proofErr w:type="gramEnd"/>
      <w:r w:rsidR="000B1EAC" w:rsidRPr="003C7496">
        <w:rPr>
          <w:rFonts w:cs="Times New Roman"/>
        </w:rPr>
        <w:t xml:space="preserve">: 10.1371/journal.ppat.1004604. </w:t>
      </w:r>
      <w:r w:rsidR="00425D3C">
        <w:rPr>
          <w:rFonts w:cs="Times New Roman"/>
        </w:rPr>
        <w:t xml:space="preserve">Retrieved from: </w:t>
      </w:r>
      <w:hyperlink r:id="rId17" w:history="1">
        <w:r w:rsidR="000B1EAC" w:rsidRPr="003C7496">
          <w:rPr>
            <w:rStyle w:val="Hyperlink"/>
            <w:rFonts w:cs="Times New Roman"/>
          </w:rPr>
          <w:t>https://www.ncbi.nlm.nih.gov/pubmed/25635835</w:t>
        </w:r>
      </w:hyperlink>
    </w:p>
    <w:p w:rsidR="000B1EAC" w:rsidRPr="004F6B1D" w:rsidRDefault="000B1EAC" w:rsidP="000B1EAC">
      <w:pPr>
        <w:pStyle w:val="ListParagraph"/>
        <w:numPr>
          <w:ilvl w:val="0"/>
          <w:numId w:val="9"/>
        </w:numPr>
        <w:spacing w:line="240" w:lineRule="auto"/>
        <w:rPr>
          <w:rStyle w:val="Hyperlink"/>
          <w:color w:val="000000"/>
          <w:u w:val="none"/>
        </w:rPr>
      </w:pPr>
      <w:proofErr w:type="spellStart"/>
      <w:r w:rsidRPr="003C7496">
        <w:rPr>
          <w:rFonts w:cs="Times New Roman"/>
        </w:rPr>
        <w:t>Villordo</w:t>
      </w:r>
      <w:proofErr w:type="spellEnd"/>
      <w:r w:rsidRPr="003C7496">
        <w:rPr>
          <w:rFonts w:cs="Times New Roman"/>
        </w:rPr>
        <w:t xml:space="preserve">, S. M., </w:t>
      </w:r>
      <w:proofErr w:type="spellStart"/>
      <w:r w:rsidRPr="003C7496">
        <w:rPr>
          <w:rFonts w:cs="Times New Roman"/>
        </w:rPr>
        <w:t>Carballeda</w:t>
      </w:r>
      <w:proofErr w:type="spellEnd"/>
      <w:r w:rsidRPr="003C7496">
        <w:rPr>
          <w:rFonts w:cs="Times New Roman"/>
        </w:rPr>
        <w:t xml:space="preserve">, J. M., </w:t>
      </w:r>
      <w:proofErr w:type="spellStart"/>
      <w:r w:rsidRPr="003C7496">
        <w:rPr>
          <w:rFonts w:cs="Times New Roman"/>
        </w:rPr>
        <w:t>Filomatori</w:t>
      </w:r>
      <w:proofErr w:type="spellEnd"/>
      <w:r w:rsidRPr="003C7496">
        <w:rPr>
          <w:rFonts w:cs="Times New Roman"/>
        </w:rPr>
        <w:t xml:space="preserve">, C. V., &amp; </w:t>
      </w:r>
      <w:proofErr w:type="spellStart"/>
      <w:r w:rsidRPr="003C7496">
        <w:rPr>
          <w:rFonts w:cs="Times New Roman"/>
        </w:rPr>
        <w:t>Gamarnik</w:t>
      </w:r>
      <w:proofErr w:type="spellEnd"/>
      <w:r w:rsidRPr="003C7496">
        <w:rPr>
          <w:rFonts w:cs="Times New Roman"/>
        </w:rPr>
        <w:t xml:space="preserve">, A. V. (2016). RNA Structure Duplications and Flavivirus Host Adaptations. </w:t>
      </w:r>
      <w:r w:rsidRPr="003C7496">
        <w:rPr>
          <w:rFonts w:cs="Times New Roman"/>
          <w:i/>
        </w:rPr>
        <w:t xml:space="preserve">Trends in </w:t>
      </w:r>
      <w:proofErr w:type="spellStart"/>
      <w:r w:rsidRPr="003C7496">
        <w:rPr>
          <w:rFonts w:cs="Times New Roman"/>
          <w:i/>
        </w:rPr>
        <w:t>Micriobiology</w:t>
      </w:r>
      <w:proofErr w:type="spellEnd"/>
      <w:r w:rsidRPr="003C7496">
        <w:rPr>
          <w:rFonts w:cs="Times New Roman"/>
        </w:rPr>
        <w:t xml:space="preserve">, 24, 270-283. </w:t>
      </w:r>
      <w:r w:rsidR="00425D3C">
        <w:rPr>
          <w:rFonts w:cs="Times New Roman"/>
        </w:rPr>
        <w:t xml:space="preserve">Retrieved from: </w:t>
      </w:r>
      <w:hyperlink r:id="rId18" w:history="1">
        <w:r w:rsidRPr="003C7496">
          <w:rPr>
            <w:rStyle w:val="Hyperlink"/>
            <w:rFonts w:cs="Times New Roman"/>
          </w:rPr>
          <w:t>https://www.ncbi.nlm.nih.gov/pubmed/26850219</w:t>
        </w:r>
      </w:hyperlink>
    </w:p>
    <w:p w:rsidR="000B1EAC" w:rsidRPr="004F6B1D" w:rsidRDefault="000B1EAC" w:rsidP="000B1EAC">
      <w:pPr>
        <w:pStyle w:val="ListParagraph"/>
        <w:numPr>
          <w:ilvl w:val="0"/>
          <w:numId w:val="9"/>
        </w:numPr>
        <w:rPr>
          <w:rFonts w:cs="Times New Roman"/>
        </w:rPr>
      </w:pPr>
      <w:r w:rsidRPr="004F6B1D">
        <w:rPr>
          <w:rFonts w:cs="Times New Roman"/>
        </w:rPr>
        <w:t xml:space="preserve">Chapman, E. G., Moon, S. L., </w:t>
      </w:r>
      <w:proofErr w:type="spellStart"/>
      <w:r w:rsidRPr="004F6B1D">
        <w:rPr>
          <w:rFonts w:cs="Times New Roman"/>
        </w:rPr>
        <w:t>Wilusz</w:t>
      </w:r>
      <w:proofErr w:type="spellEnd"/>
      <w:r w:rsidRPr="004F6B1D">
        <w:rPr>
          <w:rFonts w:cs="Times New Roman"/>
        </w:rPr>
        <w:t xml:space="preserve">, J., &amp; </w:t>
      </w:r>
      <w:proofErr w:type="spellStart"/>
      <w:r w:rsidRPr="004F6B1D">
        <w:rPr>
          <w:rFonts w:cs="Times New Roman"/>
        </w:rPr>
        <w:t>Kieft</w:t>
      </w:r>
      <w:proofErr w:type="spellEnd"/>
      <w:r w:rsidRPr="004F6B1D">
        <w:rPr>
          <w:rFonts w:cs="Times New Roman"/>
        </w:rPr>
        <w:t xml:space="preserve">, J. S. (2014) RNA Structures that Resist Degradation by Xrn1 Produce a Pathogenic Dengue Virus RNA. </w:t>
      </w:r>
      <w:proofErr w:type="spellStart"/>
      <w:r w:rsidRPr="004F6B1D">
        <w:rPr>
          <w:rFonts w:cs="Times New Roman"/>
          <w:i/>
        </w:rPr>
        <w:t>Elife</w:t>
      </w:r>
      <w:proofErr w:type="spellEnd"/>
      <w:r w:rsidRPr="004F6B1D">
        <w:rPr>
          <w:rFonts w:cs="Times New Roman"/>
        </w:rPr>
        <w:t xml:space="preserve">, 1, doi: 10.7554/eLife.01892. </w:t>
      </w:r>
      <w:r w:rsidR="00425D3C">
        <w:rPr>
          <w:rFonts w:cs="Times New Roman"/>
        </w:rPr>
        <w:t xml:space="preserve">Retrieved from: </w:t>
      </w:r>
      <w:hyperlink r:id="rId19" w:history="1">
        <w:r w:rsidRPr="004F6B1D">
          <w:rPr>
            <w:rStyle w:val="Hyperlink"/>
            <w:rFonts w:cs="Times New Roman"/>
          </w:rPr>
          <w:t>https://www.ncbi.nlm.nih.gov/pubmed/24692447</w:t>
        </w:r>
      </w:hyperlink>
      <w:r w:rsidRPr="004F6B1D">
        <w:rPr>
          <w:rFonts w:cs="Times New Roman"/>
        </w:rPr>
        <w:t xml:space="preserve"> </w:t>
      </w:r>
    </w:p>
    <w:p w:rsidR="000B1EAC" w:rsidRPr="00457A39" w:rsidRDefault="000B1EAC" w:rsidP="000B1EAC">
      <w:pPr>
        <w:pStyle w:val="ListParagraph"/>
        <w:numPr>
          <w:ilvl w:val="0"/>
          <w:numId w:val="9"/>
        </w:numPr>
        <w:rPr>
          <w:rFonts w:cs="Times New Roman"/>
        </w:rPr>
      </w:pPr>
      <w:r>
        <w:rPr>
          <w:rFonts w:cs="Times New Roman"/>
        </w:rPr>
        <w:t>B</w:t>
      </w:r>
      <w:r w:rsidRPr="004F6B1D">
        <w:rPr>
          <w:rFonts w:cs="Times New Roman"/>
        </w:rPr>
        <w:t xml:space="preserve">idet, K., </w:t>
      </w:r>
      <w:proofErr w:type="spellStart"/>
      <w:r w:rsidRPr="004F6B1D">
        <w:rPr>
          <w:rFonts w:cs="Times New Roman"/>
        </w:rPr>
        <w:t>Dadlani</w:t>
      </w:r>
      <w:proofErr w:type="spellEnd"/>
      <w:r w:rsidRPr="004F6B1D">
        <w:rPr>
          <w:rFonts w:cs="Times New Roman"/>
        </w:rPr>
        <w:t xml:space="preserve">, D., &amp; Garcia-Blanco, M. A. (2014). G3BP1, G3BP2, CAPRIN1 are </w:t>
      </w:r>
      <w:proofErr w:type="gramStart"/>
      <w:r w:rsidRPr="004F6B1D">
        <w:rPr>
          <w:rFonts w:cs="Times New Roman"/>
        </w:rPr>
        <w:t>Required</w:t>
      </w:r>
      <w:proofErr w:type="gramEnd"/>
      <w:r w:rsidRPr="004F6B1D">
        <w:rPr>
          <w:rFonts w:cs="Times New Roman"/>
        </w:rPr>
        <w:t xml:space="preserve"> for Translation of Interferon Stimulated mRNAs and are Targeted by a Dengue Virus Non-Coding RNA. </w:t>
      </w:r>
      <w:r w:rsidRPr="004F6B1D">
        <w:rPr>
          <w:rFonts w:cs="Times New Roman"/>
          <w:i/>
        </w:rPr>
        <w:t>PLOS Pathology</w:t>
      </w:r>
      <w:r w:rsidRPr="004F6B1D">
        <w:rPr>
          <w:rFonts w:cs="Times New Roman"/>
        </w:rPr>
        <w:t xml:space="preserve">, 10, </w:t>
      </w:r>
      <w:r w:rsidRPr="004F6B1D">
        <w:rPr>
          <w:rFonts w:cs="Times New Roman"/>
          <w:shd w:val="clear" w:color="auto" w:fill="FFFFFF"/>
        </w:rPr>
        <w:t>doi: 10.1371/journal.ppat.1004242.</w:t>
      </w:r>
      <w:r w:rsidRPr="004F6B1D">
        <w:rPr>
          <w:rFonts w:cs="Times New Roman"/>
        </w:rPr>
        <w:t xml:space="preserve"> </w:t>
      </w:r>
      <w:r w:rsidR="00425D3C">
        <w:rPr>
          <w:rFonts w:cs="Times New Roman"/>
        </w:rPr>
        <w:t xml:space="preserve">Retrieved from: </w:t>
      </w:r>
      <w:hyperlink r:id="rId20" w:history="1">
        <w:r w:rsidRPr="004F6B1D">
          <w:rPr>
            <w:rStyle w:val="Hyperlink"/>
            <w:rFonts w:cs="Times New Roman"/>
            <w:shd w:val="clear" w:color="auto" w:fill="FFFFFF"/>
          </w:rPr>
          <w:t>https://www.ncbi.nlm.nih.gov/pubmed/24992036</w:t>
        </w:r>
      </w:hyperlink>
      <w:r w:rsidRPr="004F6B1D">
        <w:rPr>
          <w:rFonts w:cs="Times New Roman"/>
          <w:color w:val="575757"/>
          <w:shd w:val="clear" w:color="auto" w:fill="FFFFFF"/>
        </w:rPr>
        <w:t xml:space="preserve"> </w:t>
      </w:r>
    </w:p>
    <w:p w:rsidR="000B1EAC" w:rsidRPr="004F6B1D" w:rsidRDefault="005333D8" w:rsidP="000B1EAC">
      <w:pPr>
        <w:pStyle w:val="ListParagraph"/>
        <w:numPr>
          <w:ilvl w:val="0"/>
          <w:numId w:val="9"/>
        </w:numPr>
        <w:rPr>
          <w:rFonts w:cs="Times New Roman"/>
        </w:rPr>
      </w:pPr>
      <w:r>
        <w:rPr>
          <w:rFonts w:cs="Times New Roman"/>
        </w:rPr>
        <w:t xml:space="preserve">Samuel, C. E. (2001). Antiviral Actions of Interferons. </w:t>
      </w:r>
      <w:r>
        <w:rPr>
          <w:rFonts w:cs="Times New Roman"/>
          <w:i/>
        </w:rPr>
        <w:t>Clinical Microbiology Reviews</w:t>
      </w:r>
      <w:r>
        <w:rPr>
          <w:rFonts w:cs="Times New Roman"/>
        </w:rPr>
        <w:t xml:space="preserve">, 14, 778-809. </w:t>
      </w:r>
      <w:r w:rsidR="00425D3C">
        <w:rPr>
          <w:rFonts w:cs="Times New Roman"/>
        </w:rPr>
        <w:t xml:space="preserve">Retrieved </w:t>
      </w:r>
      <w:proofErr w:type="spellStart"/>
      <w:r w:rsidR="00425D3C">
        <w:rPr>
          <w:rFonts w:cs="Times New Roman"/>
        </w:rPr>
        <w:t>from:</w:t>
      </w:r>
      <w:hyperlink r:id="rId21" w:history="1">
        <w:r w:rsidRPr="00836823">
          <w:rPr>
            <w:rStyle w:val="Hyperlink"/>
            <w:rFonts w:cs="Times New Roman"/>
          </w:rPr>
          <w:t>https</w:t>
        </w:r>
        <w:proofErr w:type="spellEnd"/>
        <w:r w:rsidRPr="00836823">
          <w:rPr>
            <w:rStyle w:val="Hyperlink"/>
            <w:rFonts w:cs="Times New Roman"/>
          </w:rPr>
          <w:t>://www.ncbi.nlm.nih.gov/pmc/articles/PMC89003/</w:t>
        </w:r>
      </w:hyperlink>
      <w:r>
        <w:rPr>
          <w:rFonts w:cs="Times New Roman"/>
        </w:rPr>
        <w:t xml:space="preserve"> </w:t>
      </w:r>
    </w:p>
    <w:p w:rsidR="000B1EAC" w:rsidRPr="00A6688C" w:rsidRDefault="000B1EAC" w:rsidP="000B1EAC">
      <w:pPr>
        <w:pStyle w:val="ListParagraph"/>
        <w:numPr>
          <w:ilvl w:val="0"/>
          <w:numId w:val="9"/>
        </w:numPr>
        <w:rPr>
          <w:rStyle w:val="Hyperlink"/>
          <w:rFonts w:cs="Times New Roman"/>
          <w:color w:val="000000"/>
          <w:u w:val="none"/>
        </w:rPr>
      </w:pPr>
      <w:r w:rsidRPr="004F6B1D">
        <w:rPr>
          <w:rFonts w:cs="Times New Roman"/>
        </w:rPr>
        <w:lastRenderedPageBreak/>
        <w:t xml:space="preserve">Funk, A., Truong, K. Nagasaki, T., Torres, S., </w:t>
      </w:r>
      <w:proofErr w:type="spellStart"/>
      <w:r w:rsidRPr="004F6B1D">
        <w:rPr>
          <w:rFonts w:cs="Times New Roman"/>
        </w:rPr>
        <w:t>Floden</w:t>
      </w:r>
      <w:proofErr w:type="spellEnd"/>
      <w:r w:rsidRPr="004F6B1D">
        <w:rPr>
          <w:rFonts w:cs="Times New Roman"/>
        </w:rPr>
        <w:t xml:space="preserve">, N., </w:t>
      </w:r>
      <w:proofErr w:type="spellStart"/>
      <w:r w:rsidRPr="004F6B1D">
        <w:rPr>
          <w:rFonts w:cs="Times New Roman"/>
        </w:rPr>
        <w:t>Balmori</w:t>
      </w:r>
      <w:proofErr w:type="spellEnd"/>
      <w:r w:rsidRPr="004F6B1D">
        <w:rPr>
          <w:rFonts w:cs="Times New Roman"/>
        </w:rPr>
        <w:t xml:space="preserve"> Melian, E.</w:t>
      </w:r>
      <w:proofErr w:type="gramStart"/>
      <w:r w:rsidRPr="004F6B1D">
        <w:rPr>
          <w:rFonts w:cs="Times New Roman"/>
        </w:rPr>
        <w:t>,…</w:t>
      </w:r>
      <w:proofErr w:type="spellStart"/>
      <w:proofErr w:type="gramEnd"/>
      <w:r w:rsidRPr="004F6B1D">
        <w:rPr>
          <w:rFonts w:cs="Times New Roman"/>
        </w:rPr>
        <w:t>Khromykh</w:t>
      </w:r>
      <w:proofErr w:type="spellEnd"/>
      <w:r w:rsidRPr="004F6B1D">
        <w:rPr>
          <w:rFonts w:cs="Times New Roman"/>
        </w:rPr>
        <w:t xml:space="preserve">, A. A. (2010). RNA Structures Required for Production of Subgenomic Flavivirus RNA. </w:t>
      </w:r>
      <w:r w:rsidRPr="004F6B1D">
        <w:rPr>
          <w:rFonts w:cs="Times New Roman"/>
          <w:i/>
        </w:rPr>
        <w:t>Journal of Virology</w:t>
      </w:r>
      <w:r w:rsidRPr="004F6B1D">
        <w:rPr>
          <w:rFonts w:cs="Times New Roman"/>
        </w:rPr>
        <w:t xml:space="preserve">, 84, 11407-11417. </w:t>
      </w:r>
      <w:proofErr w:type="spellStart"/>
      <w:r w:rsidR="00DE143F">
        <w:rPr>
          <w:rFonts w:cs="Times New Roman"/>
        </w:rPr>
        <w:t>Retrived</w:t>
      </w:r>
      <w:proofErr w:type="spellEnd"/>
      <w:r w:rsidR="00DE143F">
        <w:rPr>
          <w:rFonts w:cs="Times New Roman"/>
        </w:rPr>
        <w:t xml:space="preserve"> from: </w:t>
      </w:r>
      <w:hyperlink r:id="rId22" w:history="1">
        <w:r w:rsidRPr="004F6B1D">
          <w:rPr>
            <w:rStyle w:val="Hyperlink"/>
            <w:rFonts w:cs="Times New Roman"/>
          </w:rPr>
          <w:t>https://www.ncbi.nlm.nih.gov/pubmed/20719943</w:t>
        </w:r>
      </w:hyperlink>
    </w:p>
    <w:p w:rsidR="005333D8" w:rsidRDefault="005333D8" w:rsidP="000B1EAC">
      <w:pPr>
        <w:pStyle w:val="ListParagraph"/>
        <w:numPr>
          <w:ilvl w:val="0"/>
          <w:numId w:val="9"/>
        </w:numPr>
        <w:rPr>
          <w:rFonts w:cs="Times New Roman"/>
        </w:rPr>
      </w:pPr>
      <w:r>
        <w:rPr>
          <w:rFonts w:cs="Times New Roman"/>
        </w:rPr>
        <w:t xml:space="preserve">Diamond, M. S. (2009). Mechanisms of Evasion of the Type I Interferon Response by Flaviviruses. </w:t>
      </w:r>
      <w:r>
        <w:rPr>
          <w:rFonts w:cs="Times New Roman"/>
          <w:i/>
        </w:rPr>
        <w:t>Journal of Interferon &amp; Cytokine Research</w:t>
      </w:r>
      <w:r>
        <w:rPr>
          <w:rFonts w:cs="Times New Roman"/>
        </w:rPr>
        <w:t>, 29. doi:10.1089/jir.2009.0069</w:t>
      </w:r>
    </w:p>
    <w:p w:rsidR="000B1EAC" w:rsidRPr="005333D8" w:rsidRDefault="005333D8" w:rsidP="005333D8">
      <w:pPr>
        <w:pStyle w:val="ListParagraph"/>
        <w:numPr>
          <w:ilvl w:val="0"/>
          <w:numId w:val="9"/>
        </w:numPr>
        <w:rPr>
          <w:rFonts w:cs="Times New Roman"/>
        </w:rPr>
      </w:pPr>
      <w:proofErr w:type="spellStart"/>
      <w:r>
        <w:t>Filomatori</w:t>
      </w:r>
      <w:proofErr w:type="spellEnd"/>
      <w:r>
        <w:t xml:space="preserve">, C.V., </w:t>
      </w:r>
      <w:proofErr w:type="spellStart"/>
      <w:r>
        <w:t>Carballeda</w:t>
      </w:r>
      <w:proofErr w:type="spellEnd"/>
      <w:r>
        <w:t xml:space="preserve">, J.M., </w:t>
      </w:r>
      <w:proofErr w:type="spellStart"/>
      <w:r>
        <w:t>Villordo</w:t>
      </w:r>
      <w:proofErr w:type="spellEnd"/>
      <w:r>
        <w:t xml:space="preserve">, S.M., Aguirre, S, </w:t>
      </w:r>
      <w:proofErr w:type="spellStart"/>
      <w:r>
        <w:t>Pallarés</w:t>
      </w:r>
      <w:proofErr w:type="spellEnd"/>
      <w:r>
        <w:t xml:space="preserve">, H. M., </w:t>
      </w:r>
      <w:proofErr w:type="spellStart"/>
      <w:r>
        <w:t>Maestre</w:t>
      </w:r>
      <w:proofErr w:type="spellEnd"/>
      <w:r>
        <w:t>, A. M.</w:t>
      </w:r>
      <w:proofErr w:type="gramStart"/>
      <w:r>
        <w:t>,…</w:t>
      </w:r>
      <w:proofErr w:type="spellStart"/>
      <w:proofErr w:type="gramEnd"/>
      <w:r>
        <w:t>Gamarnik</w:t>
      </w:r>
      <w:proofErr w:type="spellEnd"/>
      <w:r>
        <w:t xml:space="preserve">, A.V. (2017). Dengue Virus Genomic Variation Associated with Mosquito Adaptation Defines the Pattern of Viral Non-coding RNAs and Fitness in Human Cells. </w:t>
      </w:r>
      <w:r>
        <w:rPr>
          <w:i/>
        </w:rPr>
        <w:t>PLOS Pathogens</w:t>
      </w:r>
      <w:r>
        <w:t xml:space="preserve">, 13. </w:t>
      </w:r>
      <w:proofErr w:type="gramStart"/>
      <w:r>
        <w:t>doi</w:t>
      </w:r>
      <w:proofErr w:type="gramEnd"/>
      <w:r>
        <w:t xml:space="preserve">: 10.1371/journal.ppat.100625. </w:t>
      </w:r>
      <w:r w:rsidR="00DE143F">
        <w:t xml:space="preserve">Retrieved from: </w:t>
      </w:r>
      <w:hyperlink r:id="rId23" w:history="1">
        <w:r w:rsidRPr="005333D8">
          <w:rPr>
            <w:rStyle w:val="Hyperlink"/>
          </w:rPr>
          <w:t>https://www.ncbi.nlm.nih.gov/pubmed/28264033</w:t>
        </w:r>
      </w:hyperlink>
      <w:r>
        <w:rPr>
          <w:rStyle w:val="Hyperlink"/>
          <w:rFonts w:cs="Times New Roman"/>
        </w:rPr>
        <w:t xml:space="preserve"> </w:t>
      </w:r>
    </w:p>
    <w:p w:rsidR="000B1EAC" w:rsidRPr="00BC6E29" w:rsidRDefault="005333D8" w:rsidP="000B1EAC">
      <w:pPr>
        <w:pStyle w:val="ListParagraph"/>
        <w:numPr>
          <w:ilvl w:val="0"/>
          <w:numId w:val="9"/>
        </w:numPr>
        <w:spacing w:line="240" w:lineRule="auto"/>
        <w:rPr>
          <w:rStyle w:val="Hyperlink"/>
          <w:color w:val="000000"/>
          <w:u w:val="none"/>
        </w:rPr>
      </w:pPr>
      <w:r>
        <w:t xml:space="preserve">Deana, A., </w:t>
      </w:r>
      <w:proofErr w:type="spellStart"/>
      <w:r>
        <w:t>Celesnik</w:t>
      </w:r>
      <w:proofErr w:type="spellEnd"/>
      <w:r>
        <w:t xml:space="preserve">, H., &amp; Belasco, J. G. (2008). </w:t>
      </w:r>
      <w:r w:rsidR="004D6C17">
        <w:t xml:space="preserve">The Bacterial Enzyme </w:t>
      </w:r>
      <w:proofErr w:type="spellStart"/>
      <w:r w:rsidR="004D6C17">
        <w:t>RppH</w:t>
      </w:r>
      <w:proofErr w:type="spellEnd"/>
      <w:r w:rsidR="004D6C17">
        <w:t xml:space="preserve"> Triggers Messenger RNA Degradation by 5’ pyrophosphate Removal. </w:t>
      </w:r>
      <w:r w:rsidR="004D6C17">
        <w:rPr>
          <w:i/>
        </w:rPr>
        <w:t>Nature</w:t>
      </w:r>
      <w:r w:rsidR="004D6C17">
        <w:t>, 451, 355-358.</w:t>
      </w:r>
      <w:r w:rsidR="004D6C17">
        <w:rPr>
          <w:i/>
        </w:rPr>
        <w:t xml:space="preserve"> </w:t>
      </w:r>
      <w:r w:rsidR="00DE143F">
        <w:t xml:space="preserve">Retrieved from: </w:t>
      </w:r>
      <w:hyperlink r:id="rId24" w:history="1">
        <w:r w:rsidR="000B1EAC" w:rsidRPr="00DE143F">
          <w:rPr>
            <w:rStyle w:val="Hyperlink"/>
          </w:rPr>
          <w:t>https://www.ncbi.nlm.nih.gov/pubmed/18202662</w:t>
        </w:r>
      </w:hyperlink>
    </w:p>
    <w:p w:rsidR="00BC6E29" w:rsidRDefault="00BC6E29" w:rsidP="00BC6E29">
      <w:pPr>
        <w:pStyle w:val="ListParagraph"/>
        <w:numPr>
          <w:ilvl w:val="0"/>
          <w:numId w:val="9"/>
        </w:numPr>
        <w:spacing w:line="240" w:lineRule="auto"/>
        <w:rPr>
          <w:rStyle w:val="Hyperlink"/>
          <w:color w:val="000000"/>
          <w:u w:val="none"/>
        </w:rPr>
      </w:pPr>
      <w:r>
        <w:rPr>
          <w:rStyle w:val="Hyperlink"/>
          <w:color w:val="auto"/>
          <w:u w:val="none"/>
        </w:rPr>
        <w:t xml:space="preserve">Toll-Like Receptors and Innate Immunity. (2008). Retrieved from: </w:t>
      </w:r>
      <w:hyperlink r:id="rId25" w:history="1">
        <w:r w:rsidRPr="00C14B0D">
          <w:rPr>
            <w:rStyle w:val="Hyperlink"/>
          </w:rPr>
          <w:t>http://www.sabiosciences.com/pathwaymagazine/pathways7/toll-like-receptors-and-innate-immunity.php</w:t>
        </w:r>
      </w:hyperlink>
    </w:p>
    <w:p w:rsidR="00BC6E29" w:rsidRPr="00BC6E29" w:rsidRDefault="00BC6E29" w:rsidP="00BC6E29">
      <w:pPr>
        <w:pStyle w:val="ListParagraph"/>
        <w:numPr>
          <w:ilvl w:val="0"/>
          <w:numId w:val="9"/>
        </w:numPr>
        <w:spacing w:line="240" w:lineRule="auto"/>
      </w:pPr>
      <w:r>
        <w:rPr>
          <w:rStyle w:val="Hyperlink"/>
          <w:color w:val="000000"/>
          <w:u w:val="none"/>
        </w:rPr>
        <w:t xml:space="preserve">Lai, Y., Yi, G., Chen, A., Bhardwaj, K., </w:t>
      </w:r>
      <w:proofErr w:type="spellStart"/>
      <w:r>
        <w:rPr>
          <w:rStyle w:val="Hyperlink"/>
          <w:color w:val="000000"/>
          <w:u w:val="none"/>
        </w:rPr>
        <w:t>Tragesser</w:t>
      </w:r>
      <w:proofErr w:type="spellEnd"/>
      <w:r>
        <w:rPr>
          <w:rStyle w:val="Hyperlink"/>
          <w:color w:val="000000"/>
          <w:u w:val="none"/>
        </w:rPr>
        <w:t xml:space="preserve">, B. J., </w:t>
      </w:r>
      <w:proofErr w:type="spellStart"/>
      <w:r>
        <w:rPr>
          <w:rStyle w:val="Hyperlink"/>
          <w:color w:val="000000"/>
          <w:u w:val="none"/>
        </w:rPr>
        <w:t>Valverde</w:t>
      </w:r>
      <w:proofErr w:type="spellEnd"/>
      <w:r>
        <w:rPr>
          <w:rStyle w:val="Hyperlink"/>
          <w:color w:val="000000"/>
          <w:u w:val="none"/>
        </w:rPr>
        <w:t>, R. A.</w:t>
      </w:r>
      <w:proofErr w:type="gramStart"/>
      <w:r>
        <w:rPr>
          <w:rStyle w:val="Hyperlink"/>
          <w:color w:val="000000"/>
          <w:u w:val="none"/>
        </w:rPr>
        <w:t>,…</w:t>
      </w:r>
      <w:proofErr w:type="gramEnd"/>
      <w:r>
        <w:rPr>
          <w:rStyle w:val="Hyperlink"/>
          <w:color w:val="000000"/>
          <w:u w:val="none"/>
        </w:rPr>
        <w:t xml:space="preserve">Kao, C.C. (2011). Viral Double-Strand RNA-Binding Proteins Can Enhance Innate Immune Signaling by Toll-Like Receptor 3. </w:t>
      </w:r>
      <w:proofErr w:type="spellStart"/>
      <w:r>
        <w:rPr>
          <w:rStyle w:val="Hyperlink"/>
          <w:i/>
          <w:color w:val="000000"/>
          <w:u w:val="none"/>
        </w:rPr>
        <w:t>Plos</w:t>
      </w:r>
      <w:proofErr w:type="spellEnd"/>
      <w:r>
        <w:rPr>
          <w:rStyle w:val="Hyperlink"/>
          <w:i/>
          <w:color w:val="000000"/>
          <w:u w:val="none"/>
        </w:rPr>
        <w:t xml:space="preserve"> One</w:t>
      </w:r>
      <w:r w:rsidR="004D5C29">
        <w:rPr>
          <w:rStyle w:val="Hyperlink"/>
          <w:color w:val="000000"/>
          <w:u w:val="none"/>
        </w:rPr>
        <w:t>, 6,</w:t>
      </w:r>
      <w:r>
        <w:rPr>
          <w:rStyle w:val="Hyperlink"/>
          <w:color w:val="000000"/>
          <w:u w:val="none"/>
        </w:rPr>
        <w:t xml:space="preserve"> </w:t>
      </w:r>
      <w:r w:rsidRPr="00BC6E29">
        <w:rPr>
          <w:color w:val="auto"/>
        </w:rPr>
        <w:t>doi:  </w:t>
      </w:r>
      <w:hyperlink r:id="rId26" w:tgtFrame="pmc_ext" w:history="1">
        <w:r w:rsidRPr="00BC6E29">
          <w:rPr>
            <w:rStyle w:val="Hyperlink"/>
            <w:color w:val="auto"/>
            <w:u w:val="none"/>
          </w:rPr>
          <w:t>10.1371/journal.pone.0025837</w:t>
        </w:r>
      </w:hyperlink>
      <w:r w:rsidR="004D5C29">
        <w:rPr>
          <w:color w:val="auto"/>
        </w:rPr>
        <w:t>.</w:t>
      </w:r>
      <w:r>
        <w:rPr>
          <w:color w:val="auto"/>
        </w:rPr>
        <w:t xml:space="preserve"> </w:t>
      </w:r>
      <w:hyperlink r:id="rId27" w:history="1">
        <w:r w:rsidRPr="00C14B0D">
          <w:rPr>
            <w:rStyle w:val="Hyperlink"/>
          </w:rPr>
          <w:t>https://www.ncbi.nlm.nih.gov/pmc/articles/PMC3189932/</w:t>
        </w:r>
      </w:hyperlink>
    </w:p>
    <w:p w:rsidR="00BC6E29" w:rsidRPr="004D5C29" w:rsidRDefault="00B24D06" w:rsidP="00B24D06">
      <w:pPr>
        <w:pStyle w:val="ListParagraph"/>
        <w:numPr>
          <w:ilvl w:val="0"/>
          <w:numId w:val="9"/>
        </w:numPr>
        <w:spacing w:line="240" w:lineRule="auto"/>
      </w:pPr>
      <w:r>
        <w:rPr>
          <w:color w:val="auto"/>
        </w:rPr>
        <w:t xml:space="preserve">Newman, R., McHugh J., &amp; Turner, M. (2016). RNA Binding Proteins as Regulators of Immune Cell Biology. </w:t>
      </w:r>
      <w:r>
        <w:rPr>
          <w:i/>
          <w:color w:val="auto"/>
        </w:rPr>
        <w:t>Clinical and Experimental Biology</w:t>
      </w:r>
      <w:r>
        <w:rPr>
          <w:color w:val="auto"/>
        </w:rPr>
        <w:t xml:space="preserve">, 183, 37-49. </w:t>
      </w:r>
      <w:hyperlink r:id="rId28" w:history="1">
        <w:r w:rsidRPr="00C14B0D">
          <w:rPr>
            <w:rStyle w:val="Hyperlink"/>
          </w:rPr>
          <w:t>https://www.ncbi.nlm.nih.gov/pubmed/26201441</w:t>
        </w:r>
      </w:hyperlink>
      <w:r>
        <w:rPr>
          <w:color w:val="auto"/>
        </w:rPr>
        <w:t xml:space="preserve"> </w:t>
      </w:r>
    </w:p>
    <w:p w:rsidR="004D5C29" w:rsidRPr="004D5C29" w:rsidRDefault="004D5C29" w:rsidP="004D5C29">
      <w:pPr>
        <w:pStyle w:val="ListParagraph"/>
        <w:numPr>
          <w:ilvl w:val="0"/>
          <w:numId w:val="9"/>
        </w:numPr>
        <w:spacing w:line="240" w:lineRule="auto"/>
      </w:pPr>
      <w:r>
        <w:rPr>
          <w:color w:val="auto"/>
        </w:rPr>
        <w:t>TransIT-</w:t>
      </w:r>
      <w:r>
        <w:t xml:space="preserve">mRNA Transfection Kit – </w:t>
      </w:r>
      <w:proofErr w:type="spellStart"/>
      <w:r>
        <w:t>Mirus</w:t>
      </w:r>
      <w:proofErr w:type="spellEnd"/>
      <w:r>
        <w:t xml:space="preserve"> Bio LLC. Retrieved from: </w:t>
      </w:r>
      <w:hyperlink r:id="rId29" w:history="1">
        <w:r w:rsidRPr="004D5C29">
          <w:rPr>
            <w:rStyle w:val="Hyperlink"/>
          </w:rPr>
          <w:t>https://www.mirusbio.com/assets/protocols/ml036_transit_mrna_transfection_kit.pdf</w:t>
        </w:r>
      </w:hyperlink>
    </w:p>
    <w:p w:rsidR="004D5C29" w:rsidRDefault="004D5C29" w:rsidP="004D5C29">
      <w:pPr>
        <w:pStyle w:val="ListParagraph"/>
        <w:numPr>
          <w:ilvl w:val="0"/>
          <w:numId w:val="9"/>
        </w:numPr>
        <w:spacing w:line="240" w:lineRule="auto"/>
      </w:pPr>
      <w:r>
        <w:rPr>
          <w:color w:val="auto"/>
        </w:rPr>
        <w:t xml:space="preserve">Liang, Z., Wu, S., Li, Y., He, L., </w:t>
      </w:r>
      <w:proofErr w:type="spellStart"/>
      <w:r>
        <w:rPr>
          <w:color w:val="auto"/>
        </w:rPr>
        <w:t>Minhao</w:t>
      </w:r>
      <w:proofErr w:type="spellEnd"/>
      <w:r>
        <w:rPr>
          <w:color w:val="auto"/>
        </w:rPr>
        <w:t xml:space="preserve">, W., Jiang, L.,…Huang, X. (2011) Activation of Toll-Like Receptor 3 Impairs the Dengue Virus Serotype 2 Replication through Induction of </w:t>
      </w:r>
      <w:r>
        <w:t>IFN-</w:t>
      </w:r>
      <w:r>
        <w:rPr>
          <w:rFonts w:cs="Times New Roman"/>
        </w:rPr>
        <w:t>β</w:t>
      </w:r>
      <w:r>
        <w:rPr>
          <w:rFonts w:cs="Times New Roman"/>
        </w:rPr>
        <w:t xml:space="preserve"> in Cultured Hepatoma Cells. </w:t>
      </w:r>
      <w:proofErr w:type="spellStart"/>
      <w:r>
        <w:rPr>
          <w:rFonts w:cs="Times New Roman"/>
          <w:i/>
        </w:rPr>
        <w:t>Plos</w:t>
      </w:r>
      <w:proofErr w:type="spellEnd"/>
      <w:r>
        <w:rPr>
          <w:rFonts w:cs="Times New Roman"/>
          <w:i/>
        </w:rPr>
        <w:t xml:space="preserve"> One</w:t>
      </w:r>
      <w:r>
        <w:rPr>
          <w:rFonts w:cs="Times New Roman"/>
        </w:rPr>
        <w:t xml:space="preserve">, 6, </w:t>
      </w:r>
      <w:r w:rsidRPr="004D5C29">
        <w:rPr>
          <w:color w:val="auto"/>
        </w:rPr>
        <w:t>doi:  </w:t>
      </w:r>
      <w:hyperlink r:id="rId30" w:tgtFrame="pmc_ext" w:history="1">
        <w:r w:rsidRPr="004D5C29">
          <w:rPr>
            <w:rStyle w:val="Hyperlink"/>
            <w:color w:val="auto"/>
            <w:u w:val="none"/>
          </w:rPr>
          <w:t>10.1371/journal.pone.0023346</w:t>
        </w:r>
      </w:hyperlink>
      <w:r>
        <w:t xml:space="preserve">. </w:t>
      </w:r>
      <w:r w:rsidRPr="004D5C29">
        <w:t>https://www.ncbi.nlm.nih.gov/pmc/articles/PMC3150425/</w:t>
      </w:r>
    </w:p>
    <w:p w:rsidR="000B1EAC" w:rsidRPr="00197D9E" w:rsidRDefault="004D6C17" w:rsidP="000B1EAC">
      <w:pPr>
        <w:pStyle w:val="ListParagraph"/>
        <w:numPr>
          <w:ilvl w:val="0"/>
          <w:numId w:val="9"/>
        </w:numPr>
        <w:spacing w:line="240" w:lineRule="auto"/>
        <w:rPr>
          <w:rStyle w:val="Hyperlink"/>
          <w:color w:val="000000"/>
          <w:u w:val="none"/>
        </w:rPr>
      </w:pPr>
      <w:r>
        <w:t xml:space="preserve">Overview of ELISA. Retrieved from: </w:t>
      </w:r>
      <w:hyperlink r:id="rId31" w:history="1">
        <w:r w:rsidR="000B1EAC" w:rsidRPr="00836823">
          <w:rPr>
            <w:rStyle w:val="Hyperlink"/>
          </w:rPr>
          <w:t>https://www.thermofisher.com/us/en/home/life-science/protein-biology/protein-biology-learning-center/protein-biology-resource-library/pierce-protein-methods/overview-elisa.html</w:t>
        </w:r>
      </w:hyperlink>
    </w:p>
    <w:p w:rsidR="00197D9E" w:rsidRDefault="004510AF" w:rsidP="004510AF">
      <w:pPr>
        <w:pStyle w:val="ListParagraph"/>
        <w:numPr>
          <w:ilvl w:val="0"/>
          <w:numId w:val="9"/>
        </w:numPr>
        <w:spacing w:line="240" w:lineRule="auto"/>
      </w:pPr>
      <w:r>
        <w:t xml:space="preserve">IFN Beta Human ELISA Kit. Retrieved from: </w:t>
      </w:r>
      <w:hyperlink r:id="rId32" w:history="1">
        <w:r w:rsidRPr="00C14B0D">
          <w:rPr>
            <w:rStyle w:val="Hyperlink"/>
          </w:rPr>
          <w:t>https://www.thermofisher.com/order/catalog/product/414101?gclid=Cj0KEQjw6LXIBRCUqIjXmdKBxZUBEiQA_f50PsLQjov0CkRXEJtDqg_6-VvywuJdGypEhwe3mFQ2hEcaAkDo8P8HAQ&amp;ef_id=V3lRmwAAAfIzbfyw:20170507042649:s</w:t>
        </w:r>
      </w:hyperlink>
      <w:r>
        <w:t xml:space="preserve"> </w:t>
      </w:r>
    </w:p>
    <w:p w:rsidR="000B1EAC" w:rsidRPr="004B316C" w:rsidRDefault="000B1EAC" w:rsidP="000B1EAC">
      <w:pPr>
        <w:pStyle w:val="ListParagraph"/>
        <w:numPr>
          <w:ilvl w:val="0"/>
          <w:numId w:val="9"/>
        </w:numPr>
        <w:rPr>
          <w:rFonts w:cs="Times New Roman"/>
        </w:rPr>
      </w:pPr>
      <w:proofErr w:type="spellStart"/>
      <w:r w:rsidRPr="004B316C">
        <w:rPr>
          <w:rFonts w:cs="Times New Roman"/>
        </w:rPr>
        <w:t>Manokaran</w:t>
      </w:r>
      <w:proofErr w:type="spellEnd"/>
      <w:r w:rsidRPr="004B316C">
        <w:rPr>
          <w:rFonts w:cs="Times New Roman"/>
        </w:rPr>
        <w:t xml:space="preserve">, G., </w:t>
      </w:r>
      <w:proofErr w:type="spellStart"/>
      <w:r w:rsidRPr="004B316C">
        <w:rPr>
          <w:rFonts w:cs="Times New Roman"/>
        </w:rPr>
        <w:t>Finol</w:t>
      </w:r>
      <w:proofErr w:type="spellEnd"/>
      <w:r w:rsidRPr="004B316C">
        <w:rPr>
          <w:rFonts w:cs="Times New Roman"/>
        </w:rPr>
        <w:t xml:space="preserve">, E., Wang, C., </w:t>
      </w:r>
      <w:proofErr w:type="spellStart"/>
      <w:r w:rsidRPr="004B316C">
        <w:rPr>
          <w:rFonts w:cs="Times New Roman"/>
        </w:rPr>
        <w:t>Gunaratne</w:t>
      </w:r>
      <w:proofErr w:type="spellEnd"/>
      <w:r w:rsidRPr="004B316C">
        <w:rPr>
          <w:rFonts w:cs="Times New Roman"/>
        </w:rPr>
        <w:t xml:space="preserve">, J. </w:t>
      </w:r>
      <w:proofErr w:type="spellStart"/>
      <w:r w:rsidRPr="004B316C">
        <w:rPr>
          <w:rFonts w:cs="Times New Roman"/>
        </w:rPr>
        <w:t>Bahl</w:t>
      </w:r>
      <w:proofErr w:type="spellEnd"/>
      <w:r w:rsidRPr="004B316C">
        <w:rPr>
          <w:rFonts w:cs="Times New Roman"/>
        </w:rPr>
        <w:t>, J., Ong, E. Z.,…</w:t>
      </w:r>
      <w:proofErr w:type="spellStart"/>
      <w:r w:rsidRPr="004B316C">
        <w:rPr>
          <w:rFonts w:cs="Times New Roman"/>
        </w:rPr>
        <w:t>Ooi</w:t>
      </w:r>
      <w:proofErr w:type="spellEnd"/>
      <w:r w:rsidRPr="004B316C">
        <w:rPr>
          <w:rFonts w:cs="Times New Roman"/>
        </w:rPr>
        <w:t xml:space="preserve"> E. E. (2015). Dengue Subgenomic RNA Binds TRIM25 to Inhibit Interferon Expression for Epidemiological Fitness. </w:t>
      </w:r>
      <w:r w:rsidRPr="004B316C">
        <w:rPr>
          <w:rFonts w:cs="Times New Roman"/>
          <w:i/>
        </w:rPr>
        <w:t xml:space="preserve">Science, </w:t>
      </w:r>
      <w:r w:rsidRPr="004B316C">
        <w:rPr>
          <w:rFonts w:cs="Times New Roman"/>
        </w:rPr>
        <w:t xml:space="preserve">350, 217-221. </w:t>
      </w:r>
      <w:r w:rsidR="00DE143F">
        <w:rPr>
          <w:rFonts w:cs="Times New Roman"/>
        </w:rPr>
        <w:t xml:space="preserve">Retrieved from: </w:t>
      </w:r>
      <w:hyperlink r:id="rId33" w:history="1">
        <w:r w:rsidRPr="004B316C">
          <w:rPr>
            <w:rStyle w:val="Hyperlink"/>
            <w:rFonts w:cs="Times New Roman"/>
          </w:rPr>
          <w:t>https://www.ncbi.nlm.nih.gov/pubmed/26138103</w:t>
        </w:r>
      </w:hyperlink>
    </w:p>
    <w:p w:rsidR="000B1EAC" w:rsidRPr="006746C2" w:rsidRDefault="000B1EAC" w:rsidP="006746C2">
      <w:pPr>
        <w:pStyle w:val="ListParagraph"/>
        <w:numPr>
          <w:ilvl w:val="0"/>
          <w:numId w:val="9"/>
        </w:numPr>
        <w:spacing w:line="240" w:lineRule="auto"/>
        <w:rPr>
          <w:rFonts w:cs="Times New Roman"/>
        </w:rPr>
      </w:pPr>
      <w:r w:rsidRPr="00F63B58">
        <w:rPr>
          <w:rFonts w:cs="Times New Roman"/>
        </w:rPr>
        <w:t xml:space="preserve">Medlock J. M. &amp; Leach S. (2015). Effect of climate change on vector-borne disease risk in the UK. </w:t>
      </w:r>
      <w:r w:rsidRPr="00F63B58">
        <w:rPr>
          <w:rFonts w:cs="Times New Roman"/>
          <w:i/>
        </w:rPr>
        <w:t>The Lancet Infectious Diseases</w:t>
      </w:r>
      <w:r w:rsidRPr="00F63B58">
        <w:rPr>
          <w:rFonts w:cs="Times New Roman"/>
        </w:rPr>
        <w:t xml:space="preserve">. </w:t>
      </w:r>
      <w:r w:rsidRPr="00F63B58">
        <w:rPr>
          <w:rFonts w:cs="Times New Roman"/>
          <w:i/>
        </w:rPr>
        <w:t>15</w:t>
      </w:r>
      <w:r w:rsidRPr="00F63B58">
        <w:rPr>
          <w:rFonts w:cs="Times New Roman"/>
        </w:rPr>
        <w:t>, 721-730. doi: 10.1016/S1473-3099(15)70091-5</w:t>
      </w:r>
      <w:r w:rsidR="00381164">
        <w:rPr>
          <w:rFonts w:cs="Times New Roman"/>
        </w:rPr>
        <w:t>.</w:t>
      </w:r>
      <w:bookmarkStart w:id="0" w:name="_GoBack"/>
      <w:bookmarkEnd w:id="0"/>
    </w:p>
    <w:sectPr w:rsidR="000B1EAC" w:rsidRPr="006746C2">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14" w:rsidRDefault="00042F14" w:rsidP="00A15A2F">
      <w:pPr>
        <w:spacing w:after="0" w:line="240" w:lineRule="auto"/>
      </w:pPr>
      <w:r>
        <w:separator/>
      </w:r>
    </w:p>
  </w:endnote>
  <w:endnote w:type="continuationSeparator" w:id="0">
    <w:p w:rsidR="00042F14" w:rsidRDefault="00042F14" w:rsidP="00A1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14" w:rsidRDefault="00042F14" w:rsidP="00A15A2F">
      <w:pPr>
        <w:spacing w:after="0" w:line="240" w:lineRule="auto"/>
      </w:pPr>
      <w:r>
        <w:separator/>
      </w:r>
    </w:p>
  </w:footnote>
  <w:footnote w:type="continuationSeparator" w:id="0">
    <w:p w:rsidR="00042F14" w:rsidRDefault="00042F14" w:rsidP="00A1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2F" w:rsidRDefault="00A15A2F">
    <w:pPr>
      <w:pStyle w:val="Header"/>
    </w:pPr>
    <w:r>
      <w:t>Nikhita Puthuveetil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50B0"/>
    <w:multiLevelType w:val="hybridMultilevel"/>
    <w:tmpl w:val="74CC17E8"/>
    <w:lvl w:ilvl="0" w:tplc="930218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3680B"/>
    <w:multiLevelType w:val="hybridMultilevel"/>
    <w:tmpl w:val="76447098"/>
    <w:lvl w:ilvl="0" w:tplc="DB340CCC">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14975"/>
    <w:multiLevelType w:val="multilevel"/>
    <w:tmpl w:val="813663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lvlOverride w:ilvl="2">
      <w:startOverride w:val="1"/>
    </w:lvlOverride>
  </w:num>
  <w:num w:numId="2">
    <w:abstractNumId w:val="2"/>
    <w:lvlOverride w:ilvl="1"/>
    <w:lvlOverride w:ilvl="2"/>
    <w:lvlOverride w:ilvl="3">
      <w:startOverride w:val="1"/>
    </w:lvlOverride>
  </w:num>
  <w:num w:numId="3">
    <w:abstractNumId w:val="2"/>
    <w:lvlOverride w:ilvl="1"/>
    <w:lvlOverride w:ilvl="2"/>
    <w:lvlOverride w:ilvl="3"/>
    <w:lvlOverride w:ilvl="4">
      <w:startOverride w:val="1"/>
    </w:lvlOverride>
  </w:num>
  <w:num w:numId="4">
    <w:abstractNumId w:val="2"/>
    <w:lvlOverride w:ilvl="1"/>
    <w:lvlOverride w:ilvl="2"/>
    <w:lvlOverride w:ilvl="3"/>
    <w:lvlOverride w:ilvl="4"/>
    <w:lvlOverride w:ilvl="5">
      <w:startOverride w:val="1"/>
    </w:lvlOverride>
  </w:num>
  <w:num w:numId="5">
    <w:abstractNumId w:val="2"/>
    <w:lvlOverride w:ilvl="1"/>
    <w:lvlOverride w:ilvl="2"/>
    <w:lvlOverride w:ilvl="3"/>
    <w:lvlOverride w:ilvl="4">
      <w:startOverride w:val="1"/>
    </w:lvlOverride>
    <w:lvlOverride w:ilvl="5"/>
  </w:num>
  <w:num w:numId="6">
    <w:abstractNumId w:val="2"/>
    <w:lvlOverride w:ilvl="1"/>
    <w:lvlOverride w:ilvl="2"/>
    <w:lvlOverride w:ilvl="3">
      <w:startOverride w:val="1"/>
    </w:lvlOverride>
    <w:lvlOverride w:ilvl="4"/>
    <w:lvlOverride w:ilvl="5"/>
  </w:num>
  <w:num w:numId="7">
    <w:abstractNumId w:val="2"/>
    <w:lvlOverride w:ilvl="1"/>
    <w:lvlOverride w:ilvl="2">
      <w:startOverride w:val="1"/>
    </w:lvlOverride>
    <w:lvlOverride w:ilvl="3"/>
    <w:lvlOverride w:ilvl="4"/>
    <w:lvlOverride w:ilv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F"/>
    <w:rsid w:val="00042F14"/>
    <w:rsid w:val="000A0563"/>
    <w:rsid w:val="000B1EAC"/>
    <w:rsid w:val="00107478"/>
    <w:rsid w:val="00111DF9"/>
    <w:rsid w:val="0012090C"/>
    <w:rsid w:val="0016016C"/>
    <w:rsid w:val="00197D9E"/>
    <w:rsid w:val="001A1CF0"/>
    <w:rsid w:val="001E7F8E"/>
    <w:rsid w:val="00201058"/>
    <w:rsid w:val="00211F3A"/>
    <w:rsid w:val="00266635"/>
    <w:rsid w:val="002A034B"/>
    <w:rsid w:val="002A6A86"/>
    <w:rsid w:val="00381164"/>
    <w:rsid w:val="003A1470"/>
    <w:rsid w:val="003F5D6C"/>
    <w:rsid w:val="00400B1A"/>
    <w:rsid w:val="00425D3C"/>
    <w:rsid w:val="00435BA3"/>
    <w:rsid w:val="004408E7"/>
    <w:rsid w:val="004510AF"/>
    <w:rsid w:val="00470A01"/>
    <w:rsid w:val="00473304"/>
    <w:rsid w:val="004D5C29"/>
    <w:rsid w:val="004D6C17"/>
    <w:rsid w:val="005073FC"/>
    <w:rsid w:val="005333D8"/>
    <w:rsid w:val="005336B5"/>
    <w:rsid w:val="00536718"/>
    <w:rsid w:val="00537862"/>
    <w:rsid w:val="005C0D0F"/>
    <w:rsid w:val="005D10BE"/>
    <w:rsid w:val="005D736D"/>
    <w:rsid w:val="00635518"/>
    <w:rsid w:val="006746C2"/>
    <w:rsid w:val="006E05D9"/>
    <w:rsid w:val="007269CB"/>
    <w:rsid w:val="00734368"/>
    <w:rsid w:val="0075401E"/>
    <w:rsid w:val="0077599F"/>
    <w:rsid w:val="007A249E"/>
    <w:rsid w:val="007B18F7"/>
    <w:rsid w:val="00803A63"/>
    <w:rsid w:val="008633A4"/>
    <w:rsid w:val="00863ED5"/>
    <w:rsid w:val="008D4B43"/>
    <w:rsid w:val="008E6840"/>
    <w:rsid w:val="00907858"/>
    <w:rsid w:val="009254D1"/>
    <w:rsid w:val="009319AF"/>
    <w:rsid w:val="00A15A2F"/>
    <w:rsid w:val="00A6355C"/>
    <w:rsid w:val="00A86356"/>
    <w:rsid w:val="00A86A37"/>
    <w:rsid w:val="00AC269E"/>
    <w:rsid w:val="00AC5139"/>
    <w:rsid w:val="00AE6628"/>
    <w:rsid w:val="00B02517"/>
    <w:rsid w:val="00B24D06"/>
    <w:rsid w:val="00B36540"/>
    <w:rsid w:val="00B41DD8"/>
    <w:rsid w:val="00B54B74"/>
    <w:rsid w:val="00BC6E29"/>
    <w:rsid w:val="00CC0282"/>
    <w:rsid w:val="00D13D79"/>
    <w:rsid w:val="00D160DB"/>
    <w:rsid w:val="00D60B92"/>
    <w:rsid w:val="00DE143F"/>
    <w:rsid w:val="00DF646E"/>
    <w:rsid w:val="00E01F03"/>
    <w:rsid w:val="00E46408"/>
    <w:rsid w:val="00E53618"/>
    <w:rsid w:val="00E7200B"/>
    <w:rsid w:val="00E776B4"/>
    <w:rsid w:val="00EF0EC4"/>
    <w:rsid w:val="00F42103"/>
    <w:rsid w:val="00F67637"/>
    <w:rsid w:val="00F83985"/>
    <w:rsid w:val="00F85D4E"/>
    <w:rsid w:val="00F923DF"/>
    <w:rsid w:val="00F957F7"/>
    <w:rsid w:val="00FA1F40"/>
    <w:rsid w:val="00FB5DB9"/>
    <w:rsid w:val="00FD36FF"/>
    <w:rsid w:val="00FF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47B3-D3AC-42AE-A297-DDB9F10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Unicode M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9F"/>
    <w:pPr>
      <w:ind w:left="720"/>
      <w:contextualSpacing/>
    </w:pPr>
  </w:style>
  <w:style w:type="character" w:styleId="Hyperlink">
    <w:name w:val="Hyperlink"/>
    <w:basedOn w:val="DefaultParagraphFont"/>
    <w:uiPriority w:val="99"/>
    <w:unhideWhenUsed/>
    <w:rsid w:val="000B1EAC"/>
    <w:rPr>
      <w:color w:val="0563C1" w:themeColor="hyperlink"/>
      <w:u w:val="single"/>
    </w:rPr>
  </w:style>
  <w:style w:type="character" w:styleId="FollowedHyperlink">
    <w:name w:val="FollowedHyperlink"/>
    <w:basedOn w:val="DefaultParagraphFont"/>
    <w:uiPriority w:val="99"/>
    <w:semiHidden/>
    <w:unhideWhenUsed/>
    <w:rsid w:val="000B1EAC"/>
    <w:rPr>
      <w:color w:val="954F72" w:themeColor="followedHyperlink"/>
      <w:u w:val="single"/>
    </w:rPr>
  </w:style>
  <w:style w:type="character" w:customStyle="1" w:styleId="doi">
    <w:name w:val="doi"/>
    <w:basedOn w:val="DefaultParagraphFont"/>
    <w:rsid w:val="005333D8"/>
  </w:style>
  <w:style w:type="paragraph" w:styleId="BalloonText">
    <w:name w:val="Balloon Text"/>
    <w:basedOn w:val="Normal"/>
    <w:link w:val="BalloonTextChar"/>
    <w:uiPriority w:val="99"/>
    <w:semiHidden/>
    <w:unhideWhenUsed/>
    <w:rsid w:val="00D1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79"/>
    <w:rPr>
      <w:rFonts w:ascii="Segoe UI" w:hAnsi="Segoe UI" w:cs="Segoe UI"/>
      <w:sz w:val="18"/>
      <w:szCs w:val="18"/>
    </w:rPr>
  </w:style>
  <w:style w:type="paragraph" w:styleId="Header">
    <w:name w:val="header"/>
    <w:basedOn w:val="Normal"/>
    <w:link w:val="HeaderChar"/>
    <w:uiPriority w:val="99"/>
    <w:unhideWhenUsed/>
    <w:rsid w:val="00A1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2F"/>
  </w:style>
  <w:style w:type="paragraph" w:styleId="Footer">
    <w:name w:val="footer"/>
    <w:basedOn w:val="Normal"/>
    <w:link w:val="FooterChar"/>
    <w:uiPriority w:val="99"/>
    <w:unhideWhenUsed/>
    <w:rsid w:val="00A1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8518">
      <w:bodyDiv w:val="1"/>
      <w:marLeft w:val="0"/>
      <w:marRight w:val="0"/>
      <w:marTop w:val="0"/>
      <w:marBottom w:val="0"/>
      <w:divBdr>
        <w:top w:val="none" w:sz="0" w:space="0" w:color="auto"/>
        <w:left w:val="none" w:sz="0" w:space="0" w:color="auto"/>
        <w:bottom w:val="none" w:sz="0" w:space="0" w:color="auto"/>
        <w:right w:val="none" w:sz="0" w:space="0" w:color="auto"/>
      </w:divBdr>
      <w:divsChild>
        <w:div w:id="160463503">
          <w:marLeft w:val="0"/>
          <w:marRight w:val="0"/>
          <w:marTop w:val="0"/>
          <w:marBottom w:val="0"/>
          <w:divBdr>
            <w:top w:val="none" w:sz="0" w:space="0" w:color="auto"/>
            <w:left w:val="none" w:sz="0" w:space="0" w:color="auto"/>
            <w:bottom w:val="none" w:sz="0" w:space="0" w:color="auto"/>
            <w:right w:val="none" w:sz="0" w:space="0" w:color="auto"/>
          </w:divBdr>
          <w:divsChild>
            <w:div w:id="6528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515">
      <w:bodyDiv w:val="1"/>
      <w:marLeft w:val="0"/>
      <w:marRight w:val="0"/>
      <w:marTop w:val="0"/>
      <w:marBottom w:val="0"/>
      <w:divBdr>
        <w:top w:val="none" w:sz="0" w:space="0" w:color="auto"/>
        <w:left w:val="none" w:sz="0" w:space="0" w:color="auto"/>
        <w:bottom w:val="none" w:sz="0" w:space="0" w:color="auto"/>
        <w:right w:val="none" w:sz="0" w:space="0" w:color="auto"/>
      </w:divBdr>
      <w:divsChild>
        <w:div w:id="442112623">
          <w:marLeft w:val="0"/>
          <w:marRight w:val="0"/>
          <w:marTop w:val="0"/>
          <w:marBottom w:val="0"/>
          <w:divBdr>
            <w:top w:val="none" w:sz="0" w:space="0" w:color="auto"/>
            <w:left w:val="none" w:sz="0" w:space="0" w:color="auto"/>
            <w:bottom w:val="none" w:sz="0" w:space="0" w:color="auto"/>
            <w:right w:val="none" w:sz="0" w:space="0" w:color="auto"/>
          </w:divBdr>
          <w:divsChild>
            <w:div w:id="16125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e.com/nm/journal/v10/n12s/full/nm1144.html" TargetMode="External"/><Relationship Id="rId18" Type="http://schemas.openxmlformats.org/officeDocument/2006/relationships/hyperlink" Target="https://www.ncbi.nlm.nih.gov/pubmed/26850219" TargetMode="External"/><Relationship Id="rId26" Type="http://schemas.openxmlformats.org/officeDocument/2006/relationships/hyperlink" Target="https://dx.doi.org/10.1371%2Fjournal.pone.0025837" TargetMode="External"/><Relationship Id="rId3" Type="http://schemas.openxmlformats.org/officeDocument/2006/relationships/settings" Target="settings.xml"/><Relationship Id="rId21" Type="http://schemas.openxmlformats.org/officeDocument/2006/relationships/hyperlink" Target="https://www.ncbi.nlm.nih.gov/pmc/articles/PMC89003/" TargetMode="External"/><Relationship Id="rId34"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www.who.int/mediacentre/factsheets/fs117/en/" TargetMode="External"/><Relationship Id="rId17" Type="http://schemas.openxmlformats.org/officeDocument/2006/relationships/hyperlink" Target="https://www.ncbi.nlm.nih.gov/pubmed/25635835" TargetMode="External"/><Relationship Id="rId25" Type="http://schemas.openxmlformats.org/officeDocument/2006/relationships/hyperlink" Target="http://www.sabiosciences.com/pathwaymagazine/pathways7/toll-like-receptors-and-innate-immunity.php" TargetMode="External"/><Relationship Id="rId33" Type="http://schemas.openxmlformats.org/officeDocument/2006/relationships/hyperlink" Target="https://www.ncbi.nlm.nih.gov/pubmed/24692447" TargetMode="External"/><Relationship Id="rId2" Type="http://schemas.openxmlformats.org/officeDocument/2006/relationships/styles" Target="styles.xml"/><Relationship Id="rId16" Type="http://schemas.openxmlformats.org/officeDocument/2006/relationships/hyperlink" Target="https://dx.doi.org/10.3390%2Fv3091739" TargetMode="External"/><Relationship Id="rId20" Type="http://schemas.openxmlformats.org/officeDocument/2006/relationships/hyperlink" Target="https://www.ncbi.nlm.nih.gov/pubmed/24992036" TargetMode="External"/><Relationship Id="rId29" Type="http://schemas.openxmlformats.org/officeDocument/2006/relationships/hyperlink" Target="https://www.mirusbio.com/assets/protocols/ml036_transit_mrna_transfection_ki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12797969" TargetMode="External"/><Relationship Id="rId24" Type="http://schemas.openxmlformats.org/officeDocument/2006/relationships/hyperlink" Target="https://www.ncbi.nlm.nih.gov/pubmed/18202662" TargetMode="External"/><Relationship Id="rId32" Type="http://schemas.openxmlformats.org/officeDocument/2006/relationships/hyperlink" Target="https://www.thermofisher.com/order/catalog/product/414101?gclid=Cj0KEQjw6LXIBRCUqIjXmdKBxZUBEiQA_f50PsLQjov0CkRXEJtDqg_6-VvywuJdGypEhwe3mFQ2hEcaAkDo8P8HAQ&amp;ef_id=V3lRmwAAAfIzbfyw:20170507042649:s" TargetMode="External"/><Relationship Id="rId5" Type="http://schemas.openxmlformats.org/officeDocument/2006/relationships/footnotes" Target="footnotes.xml"/><Relationship Id="rId15" Type="http://schemas.openxmlformats.org/officeDocument/2006/relationships/hyperlink" Target="https://www.ncbi.nlm.nih.gov/pubmed/16002117" TargetMode="External"/><Relationship Id="rId23" Type="http://schemas.openxmlformats.org/officeDocument/2006/relationships/hyperlink" Target="https://www.ncbi.nlm.nih.gov/pubmed/24692447" TargetMode="External"/><Relationship Id="rId28" Type="http://schemas.openxmlformats.org/officeDocument/2006/relationships/hyperlink" Target="https://www.ncbi.nlm.nih.gov/pubmed/26201441" TargetMode="External"/><Relationship Id="rId36"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s://www.ncbi.nlm.nih.gov/pubmed/24692447" TargetMode="External"/><Relationship Id="rId31" Type="http://schemas.openxmlformats.org/officeDocument/2006/relationships/hyperlink" Target="https://www.thermofisher.com/us/en/home/life-science/protein-biology/protein-biology-learning-center/protein-biology-resource-library/pierce-protein-methods/overview-elisa.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ncbi.nlm.nih.gov/pubmed/27581979" TargetMode="External"/><Relationship Id="rId22" Type="http://schemas.openxmlformats.org/officeDocument/2006/relationships/hyperlink" Target="https://www.ncbi.nlm.nih.gov/pubmed/20719943" TargetMode="External"/><Relationship Id="rId27" Type="http://schemas.openxmlformats.org/officeDocument/2006/relationships/hyperlink" Target="https://www.ncbi.nlm.nih.gov/pmc/articles/PMC3189932/" TargetMode="External"/><Relationship Id="rId30" Type="http://schemas.openxmlformats.org/officeDocument/2006/relationships/hyperlink" Target="https://dx.doi.org/10.1371%2Fjournal.pone.0023346" TargetMode="External"/><Relationship Id="rId35"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Nikhita Puthuveetil</dc:creator>
  <cp:keywords/>
  <dc:description/>
  <cp:lastModifiedBy>Nikhita Puthuveetil</cp:lastModifiedBy>
  <cp:revision>19</cp:revision>
  <cp:lastPrinted>2017-04-30T04:25:00Z</cp:lastPrinted>
  <dcterms:created xsi:type="dcterms:W3CDTF">2017-05-07T02:42:00Z</dcterms:created>
  <dcterms:modified xsi:type="dcterms:W3CDTF">2017-05-07T04:34:00Z</dcterms:modified>
</cp:coreProperties>
</file>