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B3978" w14:textId="77777777" w:rsidR="00E86999" w:rsidRDefault="00E86999" w:rsidP="00E86999">
      <w:pPr>
        <w:pStyle w:val="ListParagraph"/>
        <w:numPr>
          <w:ilvl w:val="0"/>
          <w:numId w:val="1"/>
        </w:numPr>
      </w:pPr>
      <w:r>
        <w:t>Introduction</w:t>
      </w:r>
    </w:p>
    <w:p w14:paraId="7DD890F3" w14:textId="51944E7B" w:rsidR="00E86999" w:rsidRDefault="00275232" w:rsidP="008C73A1">
      <w:pPr>
        <w:ind w:firstLine="720"/>
      </w:pPr>
      <w:r>
        <w:t>L</w:t>
      </w:r>
      <w:r w:rsidR="008C73A1">
        <w:t xml:space="preserve">ung cancer is a leading cause </w:t>
      </w:r>
      <w:proofErr w:type="gramStart"/>
      <w:r w:rsidR="008C73A1">
        <w:t>of  cancer</w:t>
      </w:r>
      <w:proofErr w:type="gramEnd"/>
      <w:r w:rsidR="008C73A1">
        <w:t xml:space="preserve"> related death.</w:t>
      </w:r>
      <w:r>
        <w:t xml:space="preserve"> </w:t>
      </w:r>
      <w:r w:rsidR="00E32C99">
        <w:t xml:space="preserve">There are two types of lung cancer, small cell and </w:t>
      </w:r>
      <w:proofErr w:type="spellStart"/>
      <w:proofErr w:type="gramStart"/>
      <w:r w:rsidR="00E32C99">
        <w:t>non small</w:t>
      </w:r>
      <w:proofErr w:type="spellEnd"/>
      <w:proofErr w:type="gramEnd"/>
      <w:r w:rsidR="00E32C99">
        <w:t xml:space="preserve"> cell. </w:t>
      </w:r>
      <w:proofErr w:type="spellStart"/>
      <w:proofErr w:type="gramStart"/>
      <w:r w:rsidR="00E32C99">
        <w:t>Non small</w:t>
      </w:r>
      <w:proofErr w:type="spellEnd"/>
      <w:proofErr w:type="gramEnd"/>
      <w:r w:rsidR="00E32C99">
        <w:t xml:space="preserve"> cell lung cancer is the more common, accounting for 85% of all lung canc</w:t>
      </w:r>
      <w:r w:rsidR="0099286C">
        <w:t>er cases in the United States (</w:t>
      </w:r>
      <w:r w:rsidR="00E32C99" w:rsidRPr="00085569">
        <w:t>Molina et al, 2009).</w:t>
      </w:r>
      <w:r w:rsidR="00E32C99">
        <w:t xml:space="preserve"> </w:t>
      </w:r>
      <w:r w:rsidR="00E86999">
        <w:t xml:space="preserve">One cause of </w:t>
      </w:r>
      <w:proofErr w:type="spellStart"/>
      <w:proofErr w:type="gramStart"/>
      <w:r w:rsidR="00E86999">
        <w:t>non small</w:t>
      </w:r>
      <w:proofErr w:type="spellEnd"/>
      <w:proofErr w:type="gramEnd"/>
      <w:r w:rsidR="00E86999">
        <w:t xml:space="preserve"> cell lung cancer is attributed to mutations in the epidermal growth factor receptor (EGFR) gene. </w:t>
      </w:r>
    </w:p>
    <w:p w14:paraId="783DAABE" w14:textId="7C762700" w:rsidR="00E86999" w:rsidRPr="0099286C" w:rsidRDefault="00E86999" w:rsidP="0099286C">
      <w:pPr>
        <w:ind w:firstLine="720"/>
        <w:rPr>
          <w:highlight w:val="yellow"/>
        </w:rPr>
      </w:pPr>
      <w:r>
        <w:t>EGFR, also known as ErbB-1, is one receptor in a</w:t>
      </w:r>
      <w:r w:rsidR="008C73A1">
        <w:t xml:space="preserve"> </w:t>
      </w:r>
      <w:r>
        <w:t xml:space="preserve">family of four </w:t>
      </w:r>
      <w:r w:rsidR="008C73A1">
        <w:t>receptor tyrosine kinase</w:t>
      </w:r>
      <w:r>
        <w:t>s</w:t>
      </w:r>
      <w:r w:rsidR="008C73A1">
        <w:t xml:space="preserve">. When bound to </w:t>
      </w:r>
      <w:r>
        <w:t xml:space="preserve">the </w:t>
      </w:r>
      <w:r w:rsidR="008C73A1">
        <w:t>epidermal growth factor</w:t>
      </w:r>
      <w:r>
        <w:t xml:space="preserve"> ligand</w:t>
      </w:r>
      <w:r w:rsidR="008C73A1">
        <w:t>, it under</w:t>
      </w:r>
      <w:r>
        <w:t xml:space="preserve">goes a conformational change and forms a dimer. Once in the dimerized state, tyrosine residues on the intracellular kinase domain of the receptor are phosphorylated by ATP. This allows the receptor to initiate signaling pathways by phosphorylating secondary messengers </w:t>
      </w:r>
      <w:r w:rsidRPr="00085569">
        <w:t>(</w:t>
      </w:r>
      <w:proofErr w:type="spellStart"/>
      <w:r w:rsidRPr="00085569">
        <w:t>Yarden</w:t>
      </w:r>
      <w:proofErr w:type="spellEnd"/>
      <w:r w:rsidRPr="00085569">
        <w:t xml:space="preserve"> 2001).</w:t>
      </w:r>
      <w:r>
        <w:t xml:space="preserve">  EGFR stimulates cell growth and proliferation by activating pathways such as PI3K/AKT, STATs, and ERK. </w:t>
      </w:r>
      <w:bookmarkStart w:id="0" w:name="_GoBack"/>
      <w:bookmarkEnd w:id="0"/>
      <w:r w:rsidR="008C73A1">
        <w:t xml:space="preserve">Two main types of EGFR mutations result in uncontrolled cell proliferation. EGFR is either mutated to be constitutively (continuously) active, or over </w:t>
      </w:r>
      <w:r>
        <w:t xml:space="preserve">expressed in the cell membrane </w:t>
      </w:r>
      <w:r w:rsidR="00187849">
        <w:t>(</w:t>
      </w:r>
      <w:proofErr w:type="spellStart"/>
      <w:r w:rsidR="00187849">
        <w:t>Gazdar</w:t>
      </w:r>
      <w:proofErr w:type="spellEnd"/>
      <w:r w:rsidR="00085569" w:rsidRPr="00085569">
        <w:t xml:space="preserve"> </w:t>
      </w:r>
      <w:r w:rsidRPr="00085569">
        <w:t>2009</w:t>
      </w:r>
      <w:r w:rsidR="00085569" w:rsidRPr="00085569">
        <w:t>).</w:t>
      </w:r>
    </w:p>
    <w:p w14:paraId="372318BE" w14:textId="3A9DFBA3" w:rsidR="000948A6" w:rsidRDefault="00085569" w:rsidP="000948A6">
      <w:pPr>
        <w:ind w:firstLine="720"/>
        <w:rPr>
          <w:highlight w:val="yellow"/>
        </w:rPr>
      </w:pPr>
      <w:r>
        <w:rPr>
          <w:noProof/>
          <w:highlight w:val="yellow"/>
        </w:rPr>
        <w:drawing>
          <wp:anchor distT="0" distB="0" distL="114300" distR="114300" simplePos="0" relativeHeight="251658240" behindDoc="0" locked="0" layoutInCell="1" allowOverlap="1" wp14:anchorId="30488637" wp14:editId="5DBCEBAF">
            <wp:simplePos x="0" y="0"/>
            <wp:positionH relativeFrom="column">
              <wp:posOffset>2104390</wp:posOffset>
            </wp:positionH>
            <wp:positionV relativeFrom="paragraph">
              <wp:posOffset>295275</wp:posOffset>
            </wp:positionV>
            <wp:extent cx="4008755" cy="2284730"/>
            <wp:effectExtent l="0" t="0" r="4445" b="1270"/>
            <wp:wrapTight wrapText="bothSides">
              <wp:wrapPolygon edited="0">
                <wp:start x="0" y="0"/>
                <wp:lineTo x="0" y="21372"/>
                <wp:lineTo x="21487" y="21372"/>
                <wp:lineTo x="21487" y="0"/>
                <wp:lineTo x="0" y="0"/>
              </wp:wrapPolygon>
            </wp:wrapTight>
            <wp:docPr id="1" name="Picture 1" descr="../../../Desktop/Screen%20Shot%202017-04-30%20at%207.18.57%20A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4-30%20at%207.18.57%20AM.p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8755" cy="2284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C73A1">
        <w:t>Constitutively active mutant EGFR is generally attributed to mutations in exons 18-</w:t>
      </w:r>
      <w:r w:rsidR="00E86999">
        <w:t xml:space="preserve">21, which code for part of the kinase domain of the receptor. When in the dimerized (active) conformation, the kinase domain binds and hydrolyzes ATP phosphorylating the receptor’s tyrosine residues. Activating mutations alter the kinase domain so it can bind ATP in the absence of an extracellular ligand </w:t>
      </w:r>
      <w:r w:rsidR="00E86999" w:rsidRPr="00085569">
        <w:t>(Kumar et al</w:t>
      </w:r>
      <w:r w:rsidRPr="00085569">
        <w:t>,</w:t>
      </w:r>
      <w:r w:rsidR="00E86999" w:rsidRPr="00085569">
        <w:t xml:space="preserve"> 2008</w:t>
      </w:r>
      <w:r w:rsidRPr="00085569">
        <w:t>)</w:t>
      </w:r>
    </w:p>
    <w:p w14:paraId="17BD446D" w14:textId="77777777" w:rsidR="00085569" w:rsidRDefault="00085569" w:rsidP="00085569">
      <w:pPr>
        <w:rPr>
          <w:highlight w:val="yellow"/>
        </w:rPr>
      </w:pPr>
    </w:p>
    <w:p w14:paraId="569A9251" w14:textId="3493735B" w:rsidR="000948A6" w:rsidRPr="000948A6" w:rsidRDefault="000948A6" w:rsidP="00085569">
      <w:pPr>
        <w:jc w:val="center"/>
        <w:rPr>
          <w:b/>
        </w:rPr>
      </w:pPr>
      <w:r w:rsidRPr="000948A6">
        <w:rPr>
          <w:b/>
        </w:rPr>
        <w:t>Fig 1.</w:t>
      </w:r>
    </w:p>
    <w:p w14:paraId="36CAEBC0" w14:textId="485D0B9D" w:rsidR="000948A6" w:rsidRPr="00085569" w:rsidRDefault="000948A6" w:rsidP="00085569">
      <w:pPr>
        <w:jc w:val="center"/>
        <w:rPr>
          <w:i/>
        </w:rPr>
      </w:pPr>
      <w:r w:rsidRPr="00085569">
        <w:rPr>
          <w:i/>
        </w:rPr>
        <w:t xml:space="preserve">Adapted from </w:t>
      </w:r>
      <w:proofErr w:type="spellStart"/>
      <w:r w:rsidRPr="00085569">
        <w:rPr>
          <w:i/>
        </w:rPr>
        <w:t>Gazdar</w:t>
      </w:r>
      <w:proofErr w:type="spellEnd"/>
      <w:r w:rsidRPr="00085569">
        <w:rPr>
          <w:i/>
        </w:rPr>
        <w:t xml:space="preserve"> et al. Shows the inactive and active states of EGFR before and after ligand binding. Tyrosine kinase domain below the purple membrane changes conformation to initiate pathways.</w:t>
      </w:r>
    </w:p>
    <w:p w14:paraId="70CC2D96" w14:textId="6E097718" w:rsidR="008C73A1" w:rsidRPr="004C08D5" w:rsidRDefault="008C73A1" w:rsidP="000948A6">
      <w:pPr>
        <w:ind w:firstLine="720"/>
        <w:rPr>
          <w:highlight w:val="yellow"/>
        </w:rPr>
      </w:pPr>
      <w:r>
        <w:t>The most common therapies for activating EGFR mutations are small molecule inhibitors that competitively</w:t>
      </w:r>
      <w:r w:rsidR="00E86999">
        <w:t xml:space="preserve"> bind to the mutated ATP binding site of the kinase domain</w:t>
      </w:r>
      <w:r>
        <w:t xml:space="preserve">. Some common tyrosine kinase inhibitors (TKIs) include drugs </w:t>
      </w:r>
      <w:proofErr w:type="spellStart"/>
      <w:r>
        <w:t>Gefitinib</w:t>
      </w:r>
      <w:proofErr w:type="spellEnd"/>
      <w:r>
        <w:t xml:space="preserve"> and Erlotinib. These drugs, however, have been shown to mainly be effective for exon 19 deletions and exon 21 substitutions. Other mutations, especially those in</w:t>
      </w:r>
      <w:r w:rsidR="00E86999">
        <w:t xml:space="preserve"> exon 20, are resistant to </w:t>
      </w:r>
      <w:r w:rsidR="00E86999" w:rsidRPr="004022AE">
        <w:t>TKIs (Sharma et al</w:t>
      </w:r>
      <w:r w:rsidR="004022AE" w:rsidRPr="004022AE">
        <w:t>,</w:t>
      </w:r>
      <w:r w:rsidR="000948A6" w:rsidRPr="004022AE">
        <w:t xml:space="preserve"> </w:t>
      </w:r>
      <w:r w:rsidR="004022AE" w:rsidRPr="004022AE">
        <w:t>2007</w:t>
      </w:r>
      <w:r w:rsidR="000948A6" w:rsidRPr="004022AE">
        <w:t>)</w:t>
      </w:r>
      <w:r w:rsidR="00E86999">
        <w:t xml:space="preserve"> </w:t>
      </w:r>
      <w:r>
        <w:t>The mechanism of this resistance is not well understood</w:t>
      </w:r>
      <w:r w:rsidR="00E86999">
        <w:t xml:space="preserve"> and poses an obstacle for treatment. </w:t>
      </w:r>
    </w:p>
    <w:p w14:paraId="63FDC95A" w14:textId="77777777" w:rsidR="00E86999" w:rsidRDefault="00E86999" w:rsidP="00E86999">
      <w:pPr>
        <w:ind w:firstLine="720"/>
      </w:pPr>
      <w:r>
        <w:t xml:space="preserve">Yasuda et al (2013) investigated this resistance. They created seven different cell lines, each expressing a different exon 20 mutation. These cell lines were then exposed to the TKI, Erlotinib. Response of EGFR was measured by Western blotting of EGFR and downstream proteins, AKT and ERK. While six of the seven mutations were resistant to Erlotinib, one displayed sensitivity. After exposure to Erlotinib, no phosphorylated EGFR was detected by Western Blotting. </w:t>
      </w:r>
    </w:p>
    <w:p w14:paraId="1A227743" w14:textId="18C18639" w:rsidR="00E86999" w:rsidRDefault="00E86999">
      <w:r>
        <w:lastRenderedPageBreak/>
        <w:tab/>
        <w:t xml:space="preserve">There is currently no comprehensive study of all resistant </w:t>
      </w:r>
      <w:r w:rsidR="0099286C">
        <w:t xml:space="preserve">or </w:t>
      </w:r>
      <w:r>
        <w:t>sensitive exon 20 mutations</w:t>
      </w:r>
      <w:r w:rsidR="00525B0A">
        <w:t xml:space="preserve"> (Russo et</w:t>
      </w:r>
      <w:r w:rsidR="00C03321">
        <w:t xml:space="preserve"> al, 2015)</w:t>
      </w:r>
      <w:r w:rsidR="00525B0A">
        <w:t>.</w:t>
      </w:r>
      <w:r>
        <w:t xml:space="preserve"> The purpose of this study is to determine whether there are other</w:t>
      </w:r>
      <w:r w:rsidR="0099286C">
        <w:t>, not previously reported,</w:t>
      </w:r>
      <w:r>
        <w:t xml:space="preserve"> TKI-sensitive exon 20 mutations. </w:t>
      </w:r>
    </w:p>
    <w:p w14:paraId="3745F897" w14:textId="77777777" w:rsidR="00E86999" w:rsidRDefault="00E86999"/>
    <w:p w14:paraId="125E9BFD" w14:textId="77777777" w:rsidR="00E32C99" w:rsidRDefault="00E86999" w:rsidP="00E86999">
      <w:pPr>
        <w:pStyle w:val="ListParagraph"/>
        <w:numPr>
          <w:ilvl w:val="0"/>
          <w:numId w:val="1"/>
        </w:numPr>
      </w:pPr>
      <w:r>
        <w:t>The Experiment</w:t>
      </w:r>
    </w:p>
    <w:p w14:paraId="5015AD1F" w14:textId="15831B0A" w:rsidR="00836866" w:rsidRDefault="00B805F4" w:rsidP="00366BD3">
      <w:pPr>
        <w:ind w:firstLine="360"/>
      </w:pPr>
      <w:r>
        <w:t xml:space="preserve">This experiment seeks to test </w:t>
      </w:r>
      <w:r w:rsidR="008C092B">
        <w:t>clinically prevalent exon 20 mutations for sensitivity to Erlotinib</w:t>
      </w:r>
      <w:r w:rsidR="003E1C8B">
        <w:t xml:space="preserve"> in vitro</w:t>
      </w:r>
      <w:r w:rsidR="008C092B">
        <w:t xml:space="preserve">. </w:t>
      </w:r>
      <w:r w:rsidR="00EA5859">
        <w:t>Exon 20 mutations are highly variable, with one of the most common mutations</w:t>
      </w:r>
      <w:r w:rsidR="00093DF7">
        <w:t xml:space="preserve"> only cons</w:t>
      </w:r>
      <w:r w:rsidR="00C03321">
        <w:t>tituting about 22% of all cases (Oxnard et al 2013).</w:t>
      </w:r>
      <w:r w:rsidR="00093DF7">
        <w:t xml:space="preserve"> </w:t>
      </w:r>
      <w:r w:rsidR="00C03321">
        <w:t xml:space="preserve">Several retrospective studies </w:t>
      </w:r>
      <w:proofErr w:type="gramStart"/>
      <w:r w:rsidR="00C03321">
        <w:t>asses</w:t>
      </w:r>
      <w:proofErr w:type="gramEnd"/>
      <w:r w:rsidR="00C03321">
        <w:t xml:space="preserve"> incidence of exon 20 mutations in different populations. Yasuda et al cover almost all of the mut</w:t>
      </w:r>
      <w:r w:rsidR="00E1736D">
        <w:t xml:space="preserve">ations found in </w:t>
      </w:r>
      <w:proofErr w:type="spellStart"/>
      <w:r w:rsidR="00E1736D">
        <w:t>Arcila</w:t>
      </w:r>
      <w:proofErr w:type="spellEnd"/>
      <w:r w:rsidR="00E1736D">
        <w:t xml:space="preserve"> et al. </w:t>
      </w:r>
      <w:r w:rsidR="00215B8D">
        <w:t xml:space="preserve">However, Oxnard et al </w:t>
      </w:r>
      <w:r w:rsidR="008D6E35">
        <w:t xml:space="preserve">conduct a similar review of </w:t>
      </w:r>
      <w:r w:rsidR="000E1AA0">
        <w:t>1086 NSCLC and provide incidence of a few different exon 20 mutations. Ma et al 2015 conduct a review of 942 NSCLC patients. Below are the most common mutations from both studies, not covered by Yasuda et al.</w:t>
      </w:r>
    </w:p>
    <w:tbl>
      <w:tblPr>
        <w:tblStyle w:val="TableGrid"/>
        <w:tblW w:w="0" w:type="auto"/>
        <w:tblLook w:val="04A0" w:firstRow="1" w:lastRow="0" w:firstColumn="1" w:lastColumn="0" w:noHBand="0" w:noVBand="1"/>
      </w:tblPr>
      <w:tblGrid>
        <w:gridCol w:w="9350"/>
      </w:tblGrid>
      <w:tr w:rsidR="008D6E35" w:rsidRPr="008D6E35" w14:paraId="5BC5BB98" w14:textId="77777777" w:rsidTr="008D6E35">
        <w:tc>
          <w:tcPr>
            <w:tcW w:w="9350" w:type="dxa"/>
          </w:tcPr>
          <w:p w14:paraId="375F3D76" w14:textId="77777777" w:rsidR="008D6E35" w:rsidRPr="008D6E35" w:rsidRDefault="008D6E35" w:rsidP="002E7113">
            <w:r w:rsidRPr="008D6E35">
              <w:t>H773_V774insPH</w:t>
            </w:r>
          </w:p>
        </w:tc>
      </w:tr>
      <w:tr w:rsidR="008D6E35" w:rsidRPr="008D6E35" w14:paraId="53994E8E" w14:textId="77777777" w:rsidTr="008D6E35">
        <w:tc>
          <w:tcPr>
            <w:tcW w:w="9350" w:type="dxa"/>
          </w:tcPr>
          <w:p w14:paraId="4BBAAD5B" w14:textId="77777777" w:rsidR="008D6E35" w:rsidRPr="008D6E35" w:rsidRDefault="008D6E35" w:rsidP="002E7113">
            <w:r w:rsidRPr="008D6E35">
              <w:t>H773_V774insNPH</w:t>
            </w:r>
          </w:p>
        </w:tc>
      </w:tr>
      <w:tr w:rsidR="008D6E35" w:rsidRPr="008D6E35" w14:paraId="0B49432E" w14:textId="77777777" w:rsidTr="008D6E35">
        <w:tc>
          <w:tcPr>
            <w:tcW w:w="9350" w:type="dxa"/>
          </w:tcPr>
          <w:p w14:paraId="3B6776E7" w14:textId="77777777" w:rsidR="008D6E35" w:rsidRPr="008D6E35" w:rsidRDefault="008D6E35" w:rsidP="002E7113">
            <w:r w:rsidRPr="008D6E35">
              <w:t>V774_C775insHV</w:t>
            </w:r>
          </w:p>
        </w:tc>
      </w:tr>
      <w:tr w:rsidR="008D6E35" w:rsidRPr="008D6E35" w14:paraId="4840874F" w14:textId="77777777" w:rsidTr="008D6E35">
        <w:tc>
          <w:tcPr>
            <w:tcW w:w="9350" w:type="dxa"/>
          </w:tcPr>
          <w:p w14:paraId="14A2E539" w14:textId="77777777" w:rsidR="008D6E35" w:rsidRPr="008D6E35" w:rsidRDefault="008D6E35" w:rsidP="002E7113">
            <w:r w:rsidRPr="008D6E35">
              <w:t>D770delinsGY</w:t>
            </w:r>
          </w:p>
        </w:tc>
      </w:tr>
      <w:tr w:rsidR="008D6E35" w:rsidRPr="008D6E35" w14:paraId="3623BC92" w14:textId="77777777" w:rsidTr="008D6E35">
        <w:tc>
          <w:tcPr>
            <w:tcW w:w="9350" w:type="dxa"/>
          </w:tcPr>
          <w:p w14:paraId="6E93C61A" w14:textId="77777777" w:rsidR="008D6E35" w:rsidRPr="008D6E35" w:rsidRDefault="008D6E35" w:rsidP="002E7113">
            <w:r w:rsidRPr="008D6E35">
              <w:t>N771_P772insV</w:t>
            </w:r>
          </w:p>
        </w:tc>
      </w:tr>
      <w:tr w:rsidR="008D6E35" w:rsidRPr="008D6E35" w14:paraId="455CC1C2" w14:textId="77777777" w:rsidTr="008D6E35">
        <w:tc>
          <w:tcPr>
            <w:tcW w:w="9350" w:type="dxa"/>
          </w:tcPr>
          <w:p w14:paraId="140600E3" w14:textId="77777777" w:rsidR="008D6E35" w:rsidRPr="008D6E35" w:rsidRDefault="008D6E35" w:rsidP="002E7113">
            <w:r w:rsidRPr="008D6E35">
              <w:t>P772_H773insPNP</w:t>
            </w:r>
          </w:p>
        </w:tc>
      </w:tr>
      <w:tr w:rsidR="008D6E35" w:rsidRPr="008D6E35" w14:paraId="1F4515C7" w14:textId="77777777" w:rsidTr="008D6E35">
        <w:tc>
          <w:tcPr>
            <w:tcW w:w="9350" w:type="dxa"/>
          </w:tcPr>
          <w:p w14:paraId="1281F949" w14:textId="77777777" w:rsidR="008D6E35" w:rsidRPr="008D6E35" w:rsidRDefault="008D6E35" w:rsidP="002E7113">
            <w:r w:rsidRPr="008D6E35">
              <w:t>D770_N771insGL</w:t>
            </w:r>
          </w:p>
        </w:tc>
      </w:tr>
      <w:tr w:rsidR="008D6E35" w:rsidRPr="008D6E35" w14:paraId="01F6A6CB" w14:textId="77777777" w:rsidTr="008D6E35">
        <w:tc>
          <w:tcPr>
            <w:tcW w:w="9350" w:type="dxa"/>
          </w:tcPr>
          <w:p w14:paraId="386125DF" w14:textId="77777777" w:rsidR="008D6E35" w:rsidRPr="008D6E35" w:rsidRDefault="008D6E35" w:rsidP="002E7113">
            <w:r w:rsidRPr="008D6E35">
              <w:t>N771delinsGY</w:t>
            </w:r>
          </w:p>
        </w:tc>
      </w:tr>
      <w:tr w:rsidR="008D6E35" w:rsidRPr="008D6E35" w14:paraId="5F282304" w14:textId="77777777" w:rsidTr="008D6E35">
        <w:tc>
          <w:tcPr>
            <w:tcW w:w="9350" w:type="dxa"/>
          </w:tcPr>
          <w:p w14:paraId="6E6977DC" w14:textId="77777777" w:rsidR="008D6E35" w:rsidRPr="008D6E35" w:rsidRDefault="008D6E35" w:rsidP="002E7113">
            <w:r w:rsidRPr="008D6E35">
              <w:t>H773_V774insAH</w:t>
            </w:r>
          </w:p>
        </w:tc>
      </w:tr>
      <w:tr w:rsidR="008D6E35" w:rsidRPr="008D6E35" w14:paraId="6555BAAC" w14:textId="77777777" w:rsidTr="008D6E35">
        <w:tc>
          <w:tcPr>
            <w:tcW w:w="9350" w:type="dxa"/>
          </w:tcPr>
          <w:p w14:paraId="21D4372F" w14:textId="77777777" w:rsidR="008D6E35" w:rsidRPr="008D6E35" w:rsidRDefault="008D6E35" w:rsidP="002E7113">
            <w:r w:rsidRPr="008D6E35">
              <w:t>A767_TLA_S768</w:t>
            </w:r>
          </w:p>
        </w:tc>
      </w:tr>
      <w:tr w:rsidR="008D6E35" w:rsidRPr="008D6E35" w14:paraId="577389F1" w14:textId="77777777" w:rsidTr="008D6E35">
        <w:tc>
          <w:tcPr>
            <w:tcW w:w="9350" w:type="dxa"/>
          </w:tcPr>
          <w:p w14:paraId="24E745F5" w14:textId="77777777" w:rsidR="008D6E35" w:rsidRPr="008D6E35" w:rsidRDefault="008D6E35" w:rsidP="002E7113">
            <w:r w:rsidRPr="008D6E35">
              <w:t>V769_CV_D770</w:t>
            </w:r>
          </w:p>
        </w:tc>
      </w:tr>
      <w:tr w:rsidR="008D6E35" w:rsidRPr="008D6E35" w14:paraId="6C852458" w14:textId="77777777" w:rsidTr="008D6E35">
        <w:tc>
          <w:tcPr>
            <w:tcW w:w="9350" w:type="dxa"/>
          </w:tcPr>
          <w:p w14:paraId="067FB666" w14:textId="77777777" w:rsidR="008D6E35" w:rsidRPr="008D6E35" w:rsidRDefault="008D6E35" w:rsidP="002E7113">
            <w:r w:rsidRPr="008D6E35">
              <w:t>V769_Y_D770</w:t>
            </w:r>
          </w:p>
        </w:tc>
      </w:tr>
    </w:tbl>
    <w:p w14:paraId="436DBEE8" w14:textId="67855AE3" w:rsidR="00A761BC" w:rsidRPr="00295997" w:rsidRDefault="00C06CDF" w:rsidP="000E1AA0">
      <w:pPr>
        <w:ind w:firstLine="720"/>
      </w:pPr>
      <w:r>
        <w:t>Mutations will then be constructed</w:t>
      </w:r>
      <w:r w:rsidR="00A128EE">
        <w:t xml:space="preserve"> using cDNA</w:t>
      </w:r>
      <w:r>
        <w:t xml:space="preserve"> </w:t>
      </w:r>
      <w:r w:rsidR="005D5F6D">
        <w:t xml:space="preserve">and expressed into </w:t>
      </w:r>
      <w:r w:rsidR="004960B2">
        <w:t>plasmid</w:t>
      </w:r>
      <w:r w:rsidR="005D5F6D">
        <w:t>s by site-directed mutagenesis</w:t>
      </w:r>
      <w:r w:rsidR="004960B2">
        <w:t xml:space="preserve">. </w:t>
      </w:r>
      <w:r w:rsidR="00A761BC">
        <w:t xml:space="preserve">This plasmid will then be transfected into Ba/F3 cells using a retrovirus. </w:t>
      </w:r>
      <w:r w:rsidR="00A128EE">
        <w:t xml:space="preserve">Cells stably expressing mutant EGFR will be exposed to Erlotinib </w:t>
      </w:r>
      <w:r w:rsidR="002E6B86">
        <w:t>for 6 hours at a concentration of 1</w:t>
      </w:r>
      <w:r w:rsidR="00295997">
        <w:rPr>
          <w:vertAlign w:val="subscript"/>
        </w:rPr>
        <w:sym w:font="Symbol" w:char="F06D"/>
      </w:r>
      <w:r w:rsidR="00295997">
        <w:rPr>
          <w:vertAlign w:val="subscript"/>
        </w:rPr>
        <w:t xml:space="preserve">M </w:t>
      </w:r>
      <w:r w:rsidR="00295997">
        <w:t xml:space="preserve">(Yasuda et al 2013). </w:t>
      </w:r>
      <w:r w:rsidR="00D0483D">
        <w:t xml:space="preserve">Cells will then be exposed to EGF, lysed and cell extracts will be </w:t>
      </w:r>
      <w:r w:rsidR="00366BD3">
        <w:t xml:space="preserve">visualized </w:t>
      </w:r>
      <w:r w:rsidR="003E1C8B">
        <w:t>by</w:t>
      </w:r>
      <w:r w:rsidR="00366BD3">
        <w:t xml:space="preserve"> Western Blotting. If phosphorylated EGFR is present after exposure to Erlotinib, the mutation is not TKI-sensitizing. </w:t>
      </w:r>
    </w:p>
    <w:p w14:paraId="0CD36929" w14:textId="77777777" w:rsidR="00366BD3" w:rsidRDefault="00366BD3" w:rsidP="00366BD3"/>
    <w:p w14:paraId="6B4C6F12" w14:textId="237F0CAD" w:rsidR="00E86999" w:rsidRDefault="004760E5" w:rsidP="00366BD3">
      <w:pPr>
        <w:rPr>
          <w:u w:val="single"/>
        </w:rPr>
      </w:pPr>
      <w:r>
        <w:rPr>
          <w:u w:val="single"/>
        </w:rPr>
        <w:t>Expression of mutant EGFR</w:t>
      </w:r>
    </w:p>
    <w:p w14:paraId="2575F607" w14:textId="29F87EBE" w:rsidR="00366BD3" w:rsidRDefault="000D0DFB" w:rsidP="00000491">
      <w:pPr>
        <w:ind w:firstLine="360"/>
      </w:pPr>
      <w:r>
        <w:t xml:space="preserve">Mutant constructs are created by site-directed mutagenesis (Yasuda et al 2013). </w:t>
      </w:r>
      <w:r w:rsidR="00A73F30">
        <w:t>First</w:t>
      </w:r>
      <w:r w:rsidR="00F87B92">
        <w:t>,</w:t>
      </w:r>
      <w:r w:rsidR="00A73F30">
        <w:t xml:space="preserve"> a plasmid is created containing </w:t>
      </w:r>
      <w:r w:rsidR="00245FC8">
        <w:t xml:space="preserve">the </w:t>
      </w:r>
      <w:r w:rsidR="00A73F30">
        <w:t>wild type EGFR</w:t>
      </w:r>
      <w:r w:rsidR="00245FC8">
        <w:t xml:space="preserve"> gene</w:t>
      </w:r>
      <w:r w:rsidR="00A73F30">
        <w:t xml:space="preserve">. </w:t>
      </w:r>
      <w:r w:rsidR="004760E5">
        <w:t xml:space="preserve">Forward and reverse primers are then created for each desired mutation. These primers </w:t>
      </w:r>
      <w:r w:rsidR="00245FC8">
        <w:t xml:space="preserve">anneal to the complementary strands of the parent plasmid and PCR </w:t>
      </w:r>
      <w:r>
        <w:t>initiates DNA synthesis</w:t>
      </w:r>
      <w:r w:rsidR="004760E5">
        <w:t xml:space="preserve">. Once completed, a new plasmid with a mutated version of the target gene, in this case wild type EGFR, has been created. </w:t>
      </w:r>
    </w:p>
    <w:p w14:paraId="43757D9C" w14:textId="496A2EEB" w:rsidR="00366BD3" w:rsidRDefault="0021205F" w:rsidP="00E02793">
      <w:pPr>
        <w:ind w:firstLine="360"/>
      </w:pPr>
      <w:r>
        <w:t>These plasmids can then be transfected into cells</w:t>
      </w:r>
      <w:r w:rsidR="00BA440B">
        <w:t xml:space="preserve"> using a retrovirus. </w:t>
      </w:r>
      <w:r w:rsidR="00DA5EB6">
        <w:t xml:space="preserve">Transfection by definition is the introduction of nucleic acids into a cell, in this case the introduction of a plasmid </w:t>
      </w:r>
      <w:r w:rsidR="00873A95">
        <w:t xml:space="preserve">or a viral vector </w:t>
      </w:r>
      <w:r w:rsidR="00DA5EB6">
        <w:t xml:space="preserve">(Kim et al 2010). </w:t>
      </w:r>
      <w:r w:rsidR="00873A95">
        <w:t>This viral vector contains the genetic information for the target protein</w:t>
      </w:r>
      <w:r w:rsidR="00140F6C">
        <w:t xml:space="preserve"> (</w:t>
      </w:r>
      <w:r w:rsidR="00E02793">
        <w:t>mutant EGFR clon</w:t>
      </w:r>
      <w:r w:rsidR="00140F6C">
        <w:t>ed by site-directed mutagenesis)</w:t>
      </w:r>
      <w:r w:rsidR="00873A95">
        <w:t xml:space="preserve"> as well as the information for a selective marker. This selective marker will help distinguish which cells have been successfully transfected. The MigR1 retroviral vector expresses a green fluorescent protein when successfully integrated into the host cell’s DNA (Pear et al 1998). </w:t>
      </w:r>
      <w:r w:rsidR="00240ED1">
        <w:t xml:space="preserve">The </w:t>
      </w:r>
      <w:r w:rsidR="00873A95">
        <w:t xml:space="preserve">MigR1 </w:t>
      </w:r>
      <w:r w:rsidR="00240ED1">
        <w:t xml:space="preserve">viral vector </w:t>
      </w:r>
      <w:r w:rsidR="00873A95">
        <w:t>can be transientl</w:t>
      </w:r>
      <w:r w:rsidR="0027526D">
        <w:t xml:space="preserve">y transfected into Bosc23, </w:t>
      </w:r>
      <w:r w:rsidR="00E02793">
        <w:t xml:space="preserve">a packing cell line. When Bosc23 cells are transfected with a viral vector, they synthesize all </w:t>
      </w:r>
      <w:r w:rsidR="00616A4B">
        <w:t>proteins</w:t>
      </w:r>
      <w:r w:rsidR="00E02793">
        <w:t xml:space="preserve"> necessary to produce an infectious </w:t>
      </w:r>
      <w:r w:rsidR="00616A4B">
        <w:t xml:space="preserve">virus since the viral vector cannot replicate itself (Liebert 1990). This allows for the creation of a large number of retroviruses, ready to transfect cells stably. </w:t>
      </w:r>
      <w:r w:rsidR="00564C4F">
        <w:t>The retrovirus</w:t>
      </w:r>
      <w:r w:rsidR="00323520">
        <w:t xml:space="preserve"> can then transfect</w:t>
      </w:r>
      <w:r w:rsidR="00564C4F">
        <w:t xml:space="preserve"> Ba/F3 cells and the viral vector </w:t>
      </w:r>
      <w:r w:rsidR="00323520">
        <w:t>will combine</w:t>
      </w:r>
      <w:r w:rsidR="00564C4F">
        <w:t xml:space="preserve"> with the cells </w:t>
      </w:r>
      <w:r w:rsidR="00323520">
        <w:t>genome. Ba/F3 cells that have been successfully transfected will express the green fluorescent protein as well as the de</w:t>
      </w:r>
      <w:r w:rsidR="00140F6C">
        <w:t xml:space="preserve">sired mutant EGFR. </w:t>
      </w:r>
      <w:r w:rsidR="007840B0">
        <w:t>Ba/F</w:t>
      </w:r>
      <w:r w:rsidR="007840B0">
        <w:rPr>
          <w:vertAlign w:val="subscript"/>
        </w:rPr>
        <w:t>3</w:t>
      </w:r>
      <w:r w:rsidR="007840B0">
        <w:t xml:space="preserve"> cell growth is dependent on Interleukin Factor (IL</w:t>
      </w:r>
      <w:r w:rsidR="007840B0">
        <w:rPr>
          <w:vertAlign w:val="subscript"/>
        </w:rPr>
        <w:t>3</w:t>
      </w:r>
      <w:r w:rsidR="007840B0">
        <w:t>). Since constitutively active EGFR causes uncontrolled cell proliferat</w:t>
      </w:r>
      <w:r w:rsidR="007840B0">
        <w:t xml:space="preserve">ion, successful transfection will also be </w:t>
      </w:r>
      <w:r w:rsidR="007840B0">
        <w:t>indicated by cell growth in the absence of IL</w:t>
      </w:r>
      <w:r w:rsidR="007840B0">
        <w:rPr>
          <w:vertAlign w:val="subscript"/>
        </w:rPr>
        <w:t>3</w:t>
      </w:r>
      <w:r w:rsidR="00D5420D">
        <w:rPr>
          <w:vertAlign w:val="subscript"/>
        </w:rPr>
        <w:t xml:space="preserve"> </w:t>
      </w:r>
      <w:r w:rsidR="00D5420D">
        <w:t>(</w:t>
      </w:r>
      <w:r w:rsidR="007840B0">
        <w:t xml:space="preserve">. </w:t>
      </w:r>
    </w:p>
    <w:p w14:paraId="03904C5D" w14:textId="77777777" w:rsidR="007840B0" w:rsidRDefault="007840B0" w:rsidP="007840B0">
      <w:pPr>
        <w:rPr>
          <w:u w:val="single"/>
        </w:rPr>
      </w:pPr>
    </w:p>
    <w:p w14:paraId="51CE2FFA" w14:textId="666C1114" w:rsidR="007840B0" w:rsidRDefault="00E86999" w:rsidP="007840B0">
      <w:pPr>
        <w:rPr>
          <w:u w:val="single"/>
        </w:rPr>
      </w:pPr>
      <w:r w:rsidRPr="007840B0">
        <w:rPr>
          <w:u w:val="single"/>
        </w:rPr>
        <w:t>Western Blotting to determine sensitivit</w:t>
      </w:r>
      <w:r w:rsidR="00096EE0">
        <w:rPr>
          <w:u w:val="single"/>
        </w:rPr>
        <w:t xml:space="preserve">y </w:t>
      </w:r>
    </w:p>
    <w:p w14:paraId="4B506629" w14:textId="0A252E05" w:rsidR="00096EE0" w:rsidRPr="00096EE0" w:rsidRDefault="00096EE0" w:rsidP="007840B0">
      <w:r>
        <w:tab/>
        <w:t>Once Ba/F3 cell lines are stably expressing the EGFR mutations, the</w:t>
      </w:r>
      <w:r w:rsidR="009A53B0">
        <w:t>y will be exposed to Erlotinib</w:t>
      </w:r>
      <w:r w:rsidR="004C5E29">
        <w:t xml:space="preserve"> for six hours at a concentration of </w:t>
      </w:r>
      <w:r w:rsidR="005A4B12">
        <w:t xml:space="preserve">1 </w:t>
      </w:r>
      <w:r w:rsidR="005A4B12">
        <w:sym w:font="Symbol" w:char="F06D"/>
      </w:r>
      <w:r w:rsidR="005A4B12">
        <w:t xml:space="preserve">M. </w:t>
      </w:r>
      <w:r w:rsidR="007C4746">
        <w:t xml:space="preserve">The cells will then be exposed to the Epidermal Growth Factor (EGF) ligand in order to stimulate EGFR. </w:t>
      </w:r>
      <w:r w:rsidR="006A5400">
        <w:t xml:space="preserve">Ba/F3 cells will then be lysed and analyzed by Western Blotting. </w:t>
      </w:r>
      <w:r w:rsidR="0083736F">
        <w:t>Proteins visualized will be EGFR and others that play a role in the signaling pathways controlling growth and proliferation, such as AKT and ERK. Western blotting technique involves separating proteins by size</w:t>
      </w:r>
      <w:r w:rsidR="006061A6">
        <w:t xml:space="preserve"> and charge</w:t>
      </w:r>
      <w:r w:rsidR="0083736F">
        <w:t xml:space="preserve"> on SDS-polyacrylamide gel. </w:t>
      </w:r>
      <w:r w:rsidR="002B47B4">
        <w:t>Proteins are then transferred from the gel to a solid polyvinyl fluoride</w:t>
      </w:r>
      <w:r w:rsidR="004A0821">
        <w:t xml:space="preserve"> or nitrocellulose</w:t>
      </w:r>
      <w:r w:rsidR="002B47B4">
        <w:t xml:space="preserve"> membrane. Each protein </w:t>
      </w:r>
      <w:r w:rsidR="002A15E5">
        <w:t>is tagged by a specific primary and secondary antibody</w:t>
      </w:r>
      <w:r w:rsidR="00920261">
        <w:t xml:space="preserve"> (Mahmood and Yang, 2012)</w:t>
      </w:r>
      <w:r w:rsidR="002A15E5">
        <w:t xml:space="preserve">. The primary antibody binds directly to the protein </w:t>
      </w:r>
      <w:r w:rsidR="00405F08">
        <w:t xml:space="preserve">at a specific residue. For EGFR, the antibody binds to the phosphor-tyrosine 1068 residue. </w:t>
      </w:r>
      <w:proofErr w:type="spellStart"/>
      <w:r w:rsidR="00405F08">
        <w:t>Akt</w:t>
      </w:r>
      <w:proofErr w:type="spellEnd"/>
      <w:r w:rsidR="00405F08">
        <w:t xml:space="preserve"> is identified by the pS473 residue, and ERK ½ by the pT202 and pY204 (Yasuda et al 2013). The secondary antibody binds to the primary antibody and is visualized by film. </w:t>
      </w:r>
    </w:p>
    <w:p w14:paraId="4DEB696D" w14:textId="77777777" w:rsidR="00D5420D" w:rsidRDefault="00E86999" w:rsidP="00D5420D">
      <w:pPr>
        <w:pStyle w:val="ListParagraph"/>
        <w:numPr>
          <w:ilvl w:val="0"/>
          <w:numId w:val="1"/>
        </w:numPr>
      </w:pPr>
      <w:r>
        <w:t xml:space="preserve">The Discussion </w:t>
      </w:r>
    </w:p>
    <w:p w14:paraId="2C57E7B9" w14:textId="77777777" w:rsidR="00D5420D" w:rsidRDefault="00E5005D" w:rsidP="00D5420D">
      <w:pPr>
        <w:ind w:firstLine="360"/>
      </w:pPr>
      <w:r>
        <w:t xml:space="preserve">It is possible that this experiment will identify at least one exon 20 mutation that displays in vitro sensitivity to Erlotinib, there by opening conversation for new treatment options regarding that mutation. However, it is also possible that none of the mutations in question will be TKI-sensitizing. Furthermore, sensitivity to Erlotinib in the form of EGFR inhibition does not necessarily indicate the TKI as a viable treatment. </w:t>
      </w:r>
    </w:p>
    <w:p w14:paraId="00887E94" w14:textId="77777777" w:rsidR="00D5420D" w:rsidRDefault="00E5005D" w:rsidP="00D5420D">
      <w:pPr>
        <w:ind w:firstLine="360"/>
      </w:pPr>
      <w:r>
        <w:t xml:space="preserve">Any mutation </w:t>
      </w:r>
      <w:r w:rsidR="00DE00A7">
        <w:t xml:space="preserve">found to be </w:t>
      </w:r>
      <w:r>
        <w:t xml:space="preserve">sensitive should be subject to a follow up study assessing </w:t>
      </w:r>
      <w:r w:rsidR="00DE00A7">
        <w:t xml:space="preserve">dose response. It is important that the mutation have a higher affinity for TKI than wild type EGFR in order to create a therapeutic window for treatment (Yasuda et al 2013). </w:t>
      </w:r>
      <w:r w:rsidR="00AF3F4E">
        <w:t xml:space="preserve">It would be useful to determine the Km of an exon 20 mutation that displayed in vitro sensitivity to Erlotinib. </w:t>
      </w:r>
    </w:p>
    <w:p w14:paraId="6A0CFCD6" w14:textId="39072F9C" w:rsidR="006C07EB" w:rsidRDefault="009875F2" w:rsidP="00D5420D">
      <w:pPr>
        <w:ind w:firstLine="360"/>
      </w:pPr>
      <w:r>
        <w:t>This experiment seeks to investigate clinically prevalent mutations but exon 20 mutations are highly variable. There are still cases in which patients exhibit m</w:t>
      </w:r>
      <w:r w:rsidR="00E37125">
        <w:t xml:space="preserve">utations with no available data. Most data </w:t>
      </w:r>
      <w:proofErr w:type="gramStart"/>
      <w:r w:rsidR="00E37125">
        <w:t>comes</w:t>
      </w:r>
      <w:proofErr w:type="gramEnd"/>
      <w:r w:rsidR="00E37125">
        <w:t xml:space="preserve"> from retrospective studies of specific populations (</w:t>
      </w:r>
      <w:proofErr w:type="spellStart"/>
      <w:r w:rsidR="00E37125">
        <w:t>Arcila</w:t>
      </w:r>
      <w:proofErr w:type="spellEnd"/>
      <w:r w:rsidR="00E37125">
        <w:t xml:space="preserve"> et al 2013, Oxnard et al </w:t>
      </w:r>
      <w:r w:rsidR="009E2C9B">
        <w:t xml:space="preserve">2013). </w:t>
      </w:r>
      <w:r w:rsidR="00493E14">
        <w:t xml:space="preserve">A centralized database that compiles information from both retrospective studies as well as in vitro studies is needed to better characterize and treat mutations. </w:t>
      </w:r>
      <w:r w:rsidR="000E1AA0">
        <w:t xml:space="preserve"> </w:t>
      </w:r>
    </w:p>
    <w:p w14:paraId="2C614933" w14:textId="77777777" w:rsidR="00D5420D" w:rsidRDefault="00D5420D" w:rsidP="00D5420D">
      <w:pPr>
        <w:jc w:val="both"/>
      </w:pPr>
    </w:p>
    <w:p w14:paraId="2B41F61B" w14:textId="77777777" w:rsidR="00D5420D" w:rsidRDefault="00D5420D" w:rsidP="00D5420D">
      <w:pPr>
        <w:jc w:val="both"/>
      </w:pPr>
    </w:p>
    <w:p w14:paraId="1C8B35B7" w14:textId="77777777" w:rsidR="00D5420D" w:rsidRDefault="00D5420D"/>
    <w:p w14:paraId="3B2B0358" w14:textId="4324802F" w:rsidR="008A2922" w:rsidRDefault="008A2922">
      <w:r>
        <w:t>References:</w:t>
      </w:r>
    </w:p>
    <w:p w14:paraId="2A92A2BD" w14:textId="1D713FA6" w:rsidR="008A2922" w:rsidRDefault="008A2922" w:rsidP="008A2922">
      <w:pPr>
        <w:rPr>
          <w:rFonts w:eastAsia="Times New Roman" w:cs="Arial"/>
          <w:b/>
          <w:bCs/>
          <w:color w:val="000000"/>
          <w:kern w:val="36"/>
        </w:rPr>
      </w:pPr>
      <w:hyperlink r:id="rId6" w:history="1">
        <w:r w:rsidRPr="008A2922">
          <w:t>Molina</w:t>
        </w:r>
      </w:hyperlink>
      <w:r>
        <w:t xml:space="preserve"> JR.</w:t>
      </w:r>
      <w:r w:rsidRPr="008A2922">
        <w:t xml:space="preserve">, </w:t>
      </w:r>
      <w:hyperlink r:id="rId7" w:history="1">
        <w:r w:rsidRPr="008A2922">
          <w:t>Yang</w:t>
        </w:r>
      </w:hyperlink>
      <w:r>
        <w:t xml:space="preserve"> P.</w:t>
      </w:r>
      <w:r w:rsidRPr="008A2922">
        <w:t xml:space="preserve">, </w:t>
      </w:r>
      <w:hyperlink r:id="rId8" w:history="1">
        <w:r w:rsidRPr="008A2922">
          <w:t xml:space="preserve"> </w:t>
        </w:r>
        <w:proofErr w:type="spellStart"/>
        <w:r w:rsidRPr="008A2922">
          <w:t>Cassivi</w:t>
        </w:r>
        <w:proofErr w:type="spellEnd"/>
      </w:hyperlink>
      <w:r>
        <w:t xml:space="preserve"> S.D.</w:t>
      </w:r>
      <w:r w:rsidRPr="008A2922">
        <w:t xml:space="preserve">,  </w:t>
      </w:r>
      <w:hyperlink r:id="rId9" w:history="1">
        <w:r w:rsidRPr="008A2922">
          <w:t xml:space="preserve"> </w:t>
        </w:r>
        <w:proofErr w:type="spellStart"/>
        <w:r w:rsidRPr="008A2922">
          <w:t>Schild</w:t>
        </w:r>
        <w:proofErr w:type="spellEnd"/>
      </w:hyperlink>
      <w:r>
        <w:t xml:space="preserve"> S.E.</w:t>
      </w:r>
      <w:r w:rsidRPr="008A2922">
        <w:t>, and  </w:t>
      </w:r>
      <w:hyperlink r:id="rId10" w:history="1">
        <w:proofErr w:type="spellStart"/>
        <w:r w:rsidRPr="008A2922">
          <w:t>Adjei</w:t>
        </w:r>
        <w:proofErr w:type="spellEnd"/>
      </w:hyperlink>
      <w:r>
        <w:t xml:space="preserve"> A.E.</w:t>
      </w:r>
      <w:r>
        <w:rPr>
          <w:rFonts w:ascii="Arial" w:eastAsia="Times New Roman" w:hAnsi="Arial" w:cs="Arial"/>
          <w:color w:val="000000"/>
          <w:sz w:val="19"/>
          <w:szCs w:val="19"/>
          <w:shd w:val="clear" w:color="auto" w:fill="FFFFFF"/>
        </w:rPr>
        <w:t xml:space="preserve"> 2008. Mayo </w:t>
      </w:r>
      <w:proofErr w:type="spellStart"/>
      <w:r>
        <w:rPr>
          <w:rFonts w:ascii="Arial" w:eastAsia="Times New Roman" w:hAnsi="Arial" w:cs="Arial"/>
          <w:color w:val="000000"/>
          <w:sz w:val="19"/>
          <w:szCs w:val="19"/>
          <w:shd w:val="clear" w:color="auto" w:fill="FFFFFF"/>
        </w:rPr>
        <w:t>Clin</w:t>
      </w:r>
      <w:proofErr w:type="spellEnd"/>
      <w:r>
        <w:rPr>
          <w:rFonts w:ascii="Arial" w:eastAsia="Times New Roman" w:hAnsi="Arial" w:cs="Arial"/>
          <w:color w:val="000000"/>
          <w:sz w:val="19"/>
          <w:szCs w:val="19"/>
          <w:shd w:val="clear" w:color="auto" w:fill="FFFFFF"/>
        </w:rPr>
        <w:t xml:space="preserve"> Proc. 83(5)</w:t>
      </w:r>
      <w:r>
        <w:rPr>
          <w:rFonts w:ascii="Arial" w:eastAsia="Times New Roman" w:hAnsi="Arial" w:cs="Arial"/>
          <w:color w:val="000000"/>
          <w:sz w:val="19"/>
          <w:szCs w:val="19"/>
          <w:shd w:val="clear" w:color="auto" w:fill="FFFFFF"/>
        </w:rPr>
        <w:t xml:space="preserve"> </w:t>
      </w:r>
      <w:r w:rsidRPr="008A2922">
        <w:rPr>
          <w:rFonts w:eastAsia="Times New Roman" w:cs="Arial"/>
          <w:b/>
          <w:bCs/>
          <w:color w:val="000000"/>
          <w:kern w:val="36"/>
        </w:rPr>
        <w:t>Non–Small Cell Lung Cancer: Epidemiology, Risk Factors, Treatment, and Survivorship</w:t>
      </w:r>
      <w:r>
        <w:rPr>
          <w:rFonts w:eastAsia="Times New Roman" w:cs="Arial"/>
          <w:b/>
          <w:bCs/>
          <w:color w:val="000000"/>
          <w:kern w:val="36"/>
        </w:rPr>
        <w:t xml:space="preserve">. </w:t>
      </w:r>
    </w:p>
    <w:p w14:paraId="0B497DF1" w14:textId="77777777" w:rsidR="008A2922" w:rsidRDefault="008A2922" w:rsidP="008A2922">
      <w:pPr>
        <w:rPr>
          <w:rFonts w:eastAsia="Times New Roman" w:cs="Arial"/>
          <w:b/>
          <w:bCs/>
          <w:color w:val="000000"/>
          <w:kern w:val="36"/>
        </w:rPr>
      </w:pPr>
    </w:p>
    <w:p w14:paraId="31C695FF" w14:textId="5E21FF0B" w:rsidR="008A2922" w:rsidRDefault="008A2922" w:rsidP="008A2922">
      <w:pPr>
        <w:pStyle w:val="Heading1"/>
        <w:spacing w:before="0" w:beforeAutospacing="0" w:after="0" w:afterAutospacing="0"/>
        <w:textAlignment w:val="baseline"/>
        <w:rPr>
          <w:rStyle w:val="articlealttitle"/>
          <w:rFonts w:asciiTheme="minorHAnsi" w:eastAsia="Times New Roman" w:hAnsiTheme="minorHAnsi" w:cs="Arial"/>
          <w:bCs w:val="0"/>
          <w:color w:val="2E2E2E"/>
          <w:sz w:val="24"/>
          <w:szCs w:val="24"/>
          <w:bdr w:val="none" w:sz="0" w:space="0" w:color="auto" w:frame="1"/>
        </w:rPr>
      </w:pPr>
      <w:proofErr w:type="spellStart"/>
      <w:r w:rsidRPr="008A2922">
        <w:rPr>
          <w:rFonts w:asciiTheme="minorHAnsi" w:eastAsia="Times New Roman" w:hAnsiTheme="minorHAnsi" w:cs="Arial"/>
          <w:b w:val="0"/>
          <w:bCs w:val="0"/>
          <w:color w:val="2E2E2E"/>
          <w:sz w:val="24"/>
          <w:szCs w:val="24"/>
        </w:rPr>
        <w:t>Yarden</w:t>
      </w:r>
      <w:proofErr w:type="spellEnd"/>
      <w:r w:rsidRPr="008A2922">
        <w:rPr>
          <w:rFonts w:asciiTheme="minorHAnsi" w:eastAsia="Times New Roman" w:hAnsiTheme="minorHAnsi" w:cs="Arial"/>
          <w:b w:val="0"/>
          <w:bCs w:val="0"/>
          <w:color w:val="2E2E2E"/>
          <w:sz w:val="24"/>
          <w:szCs w:val="24"/>
        </w:rPr>
        <w:t xml:space="preserve"> Y. 2001. European Journal of Cancer. 37(4). </w:t>
      </w:r>
      <w:proofErr w:type="spellStart"/>
      <w:r w:rsidRPr="008A2922">
        <w:rPr>
          <w:rFonts w:asciiTheme="minorHAnsi" w:eastAsia="Times New Roman" w:hAnsiTheme="minorHAnsi" w:cs="Arial"/>
          <w:b w:val="0"/>
          <w:bCs w:val="0"/>
          <w:color w:val="2E2E2E"/>
          <w:sz w:val="24"/>
          <w:szCs w:val="24"/>
        </w:rPr>
        <w:t>Pg</w:t>
      </w:r>
      <w:proofErr w:type="spellEnd"/>
      <w:r w:rsidRPr="008A2922">
        <w:rPr>
          <w:rFonts w:asciiTheme="minorHAnsi" w:eastAsia="Times New Roman" w:hAnsiTheme="minorHAnsi" w:cs="Arial"/>
          <w:b w:val="0"/>
          <w:bCs w:val="0"/>
          <w:color w:val="2E2E2E"/>
          <w:sz w:val="24"/>
          <w:szCs w:val="24"/>
        </w:rPr>
        <w:t xml:space="preserve"> 3-8.</w:t>
      </w:r>
      <w:r>
        <w:rPr>
          <w:rFonts w:asciiTheme="minorHAnsi" w:eastAsia="Times New Roman" w:hAnsiTheme="minorHAnsi" w:cs="Arial"/>
          <w:bCs w:val="0"/>
          <w:color w:val="2E2E2E"/>
          <w:sz w:val="24"/>
          <w:szCs w:val="24"/>
        </w:rPr>
        <w:t xml:space="preserve"> </w:t>
      </w:r>
      <w:r w:rsidRPr="008A2922">
        <w:rPr>
          <w:rFonts w:asciiTheme="minorHAnsi" w:eastAsia="Times New Roman" w:hAnsiTheme="minorHAnsi" w:cs="Arial"/>
          <w:bCs w:val="0"/>
          <w:color w:val="2E2E2E"/>
          <w:sz w:val="24"/>
          <w:szCs w:val="24"/>
        </w:rPr>
        <w:t>The EGFR family and its ligands in human cancer</w:t>
      </w:r>
      <w:r w:rsidRPr="008A2922">
        <w:rPr>
          <w:rStyle w:val="articlealttitle"/>
          <w:rFonts w:asciiTheme="minorHAnsi" w:eastAsia="Times New Roman" w:hAnsiTheme="minorHAnsi" w:cs="Arial"/>
          <w:bCs w:val="0"/>
          <w:color w:val="2E2E2E"/>
          <w:sz w:val="24"/>
          <w:szCs w:val="24"/>
          <w:bdr w:val="none" w:sz="0" w:space="0" w:color="auto" w:frame="1"/>
        </w:rPr>
        <w:t xml:space="preserve">: </w:t>
      </w:r>
      <w:proofErr w:type="spellStart"/>
      <w:r w:rsidRPr="008A2922">
        <w:rPr>
          <w:rStyle w:val="articlealttitle"/>
          <w:rFonts w:asciiTheme="minorHAnsi" w:eastAsia="Times New Roman" w:hAnsiTheme="minorHAnsi" w:cs="Arial"/>
          <w:bCs w:val="0"/>
          <w:color w:val="2E2E2E"/>
          <w:sz w:val="24"/>
          <w:szCs w:val="24"/>
          <w:bdr w:val="none" w:sz="0" w:space="0" w:color="auto" w:frame="1"/>
        </w:rPr>
        <w:t>signalling</w:t>
      </w:r>
      <w:proofErr w:type="spellEnd"/>
      <w:r w:rsidRPr="008A2922">
        <w:rPr>
          <w:rStyle w:val="articlealttitle"/>
          <w:rFonts w:asciiTheme="minorHAnsi" w:eastAsia="Times New Roman" w:hAnsiTheme="minorHAnsi" w:cs="Arial"/>
          <w:bCs w:val="0"/>
          <w:color w:val="2E2E2E"/>
          <w:sz w:val="24"/>
          <w:szCs w:val="24"/>
          <w:bdr w:val="none" w:sz="0" w:space="0" w:color="auto" w:frame="1"/>
        </w:rPr>
        <w:t xml:space="preserve"> mechanisms and therapeutic opportunities</w:t>
      </w:r>
    </w:p>
    <w:p w14:paraId="6F1D9C4A" w14:textId="1D7E2467" w:rsidR="008A2922" w:rsidRPr="008A2922" w:rsidRDefault="008A2922" w:rsidP="008A2922">
      <w:pPr>
        <w:pStyle w:val="Heading1"/>
        <w:spacing w:before="240" w:beforeAutospacing="0" w:after="120" w:afterAutospacing="0" w:line="324" w:lineRule="atLeast"/>
        <w:rPr>
          <w:rFonts w:asciiTheme="minorHAnsi" w:eastAsia="Times New Roman" w:hAnsiTheme="minorHAnsi" w:cs="Arial"/>
          <w:color w:val="000000"/>
          <w:sz w:val="24"/>
          <w:szCs w:val="24"/>
        </w:rPr>
      </w:pPr>
      <w:proofErr w:type="spellStart"/>
      <w:r w:rsidRPr="008A2922">
        <w:rPr>
          <w:rFonts w:asciiTheme="minorHAnsi" w:eastAsia="Times New Roman" w:hAnsiTheme="minorHAnsi" w:cs="Arial"/>
          <w:b w:val="0"/>
          <w:color w:val="000000"/>
          <w:sz w:val="24"/>
          <w:szCs w:val="24"/>
        </w:rPr>
        <w:t>Gazdar</w:t>
      </w:r>
      <w:proofErr w:type="spellEnd"/>
      <w:r w:rsidRPr="008A2922">
        <w:rPr>
          <w:rFonts w:asciiTheme="minorHAnsi" w:eastAsia="Times New Roman" w:hAnsiTheme="minorHAnsi" w:cs="Arial"/>
          <w:b w:val="0"/>
          <w:color w:val="000000"/>
          <w:sz w:val="24"/>
          <w:szCs w:val="24"/>
        </w:rPr>
        <w:t xml:space="preserve"> A.F. 2009. Oncogene. 28(1).</w:t>
      </w:r>
      <w:r>
        <w:rPr>
          <w:rFonts w:asciiTheme="minorHAnsi" w:eastAsia="Times New Roman" w:hAnsiTheme="minorHAnsi" w:cs="Arial"/>
          <w:color w:val="000000"/>
          <w:sz w:val="24"/>
          <w:szCs w:val="24"/>
        </w:rPr>
        <w:t xml:space="preserve"> </w:t>
      </w:r>
      <w:r w:rsidRPr="008A2922">
        <w:rPr>
          <w:rFonts w:asciiTheme="minorHAnsi" w:eastAsia="Times New Roman" w:hAnsiTheme="minorHAnsi" w:cs="Arial"/>
          <w:color w:val="000000"/>
          <w:sz w:val="24"/>
          <w:szCs w:val="24"/>
        </w:rPr>
        <w:t>Activating and resistance mutations of</w:t>
      </w:r>
      <w:r w:rsidRPr="008A2922">
        <w:rPr>
          <w:rStyle w:val="apple-converted-space"/>
          <w:rFonts w:asciiTheme="minorHAnsi" w:eastAsia="Times New Roman" w:hAnsiTheme="minorHAnsi" w:cs="Arial"/>
          <w:color w:val="000000"/>
          <w:sz w:val="24"/>
          <w:szCs w:val="24"/>
        </w:rPr>
        <w:t> </w:t>
      </w:r>
      <w:r w:rsidRPr="008A2922">
        <w:rPr>
          <w:rStyle w:val="Emphasis"/>
          <w:rFonts w:asciiTheme="minorHAnsi" w:eastAsia="Times New Roman" w:hAnsiTheme="minorHAnsi" w:cs="Arial"/>
          <w:color w:val="000000"/>
          <w:sz w:val="24"/>
          <w:szCs w:val="24"/>
        </w:rPr>
        <w:t>EGFR</w:t>
      </w:r>
      <w:r w:rsidRPr="008A2922">
        <w:rPr>
          <w:rStyle w:val="apple-converted-space"/>
          <w:rFonts w:asciiTheme="minorHAnsi" w:eastAsia="Times New Roman" w:hAnsiTheme="minorHAnsi" w:cs="Arial"/>
          <w:color w:val="000000"/>
          <w:sz w:val="24"/>
          <w:szCs w:val="24"/>
        </w:rPr>
        <w:t> </w:t>
      </w:r>
      <w:r w:rsidRPr="008A2922">
        <w:rPr>
          <w:rFonts w:asciiTheme="minorHAnsi" w:eastAsia="Times New Roman" w:hAnsiTheme="minorHAnsi" w:cs="Arial"/>
          <w:color w:val="000000"/>
          <w:sz w:val="24"/>
          <w:szCs w:val="24"/>
        </w:rPr>
        <w:t>in non-small-cell lung cancer: role in clinical response to EGFR tyrosine kinase inhibitors</w:t>
      </w:r>
      <w:r w:rsidR="00085569">
        <w:rPr>
          <w:rFonts w:asciiTheme="minorHAnsi" w:eastAsia="Times New Roman" w:hAnsiTheme="minorHAnsi" w:cs="Arial"/>
          <w:color w:val="000000"/>
          <w:sz w:val="24"/>
          <w:szCs w:val="24"/>
        </w:rPr>
        <w:t xml:space="preserve">. </w:t>
      </w:r>
      <w:hyperlink r:id="rId11" w:history="1">
        <w:r w:rsidR="00085569" w:rsidRPr="00085569">
          <w:rPr>
            <w:rStyle w:val="Hyperlink"/>
            <w:rFonts w:ascii="Calibri" w:hAnsi="Calibri"/>
            <w:sz w:val="24"/>
            <w:szCs w:val="24"/>
          </w:rPr>
          <w:t>https://www.ncbi.nlm.nih.gov/pmc/articles/PMC2849651/#R46</w:t>
        </w:r>
      </w:hyperlink>
    </w:p>
    <w:p w14:paraId="1CA38685" w14:textId="77777777" w:rsidR="008A2922" w:rsidRPr="008A2922" w:rsidRDefault="008A2922" w:rsidP="008A2922">
      <w:pPr>
        <w:rPr>
          <w:rFonts w:eastAsia="Times New Roman"/>
        </w:rPr>
      </w:pPr>
    </w:p>
    <w:p w14:paraId="5B4F2E9F" w14:textId="0D1D64F5" w:rsidR="00085569" w:rsidRDefault="00085569" w:rsidP="00085569">
      <w:pPr>
        <w:pStyle w:val="Heading1"/>
        <w:spacing w:before="240" w:beforeAutospacing="0" w:after="120" w:afterAutospacing="0" w:line="324" w:lineRule="atLeast"/>
        <w:rPr>
          <w:rFonts w:asciiTheme="minorHAnsi" w:eastAsia="Times New Roman" w:hAnsiTheme="minorHAnsi" w:cs="Arial"/>
          <w:color w:val="000000"/>
          <w:sz w:val="24"/>
          <w:szCs w:val="24"/>
        </w:rPr>
      </w:pPr>
      <w:r w:rsidRPr="00085569">
        <w:rPr>
          <w:rFonts w:asciiTheme="minorHAnsi" w:eastAsia="Times New Roman" w:hAnsiTheme="minorHAnsi" w:cs="Arial"/>
          <w:b w:val="0"/>
          <w:color w:val="000000"/>
          <w:sz w:val="24"/>
          <w:szCs w:val="24"/>
        </w:rPr>
        <w:t xml:space="preserve">Kumar A., Edward TP., </w:t>
      </w:r>
      <w:proofErr w:type="spellStart"/>
      <w:r w:rsidRPr="00085569">
        <w:rPr>
          <w:rFonts w:asciiTheme="minorHAnsi" w:eastAsia="Times New Roman" w:hAnsiTheme="minorHAnsi" w:cs="Arial"/>
          <w:b w:val="0"/>
          <w:color w:val="000000"/>
          <w:sz w:val="24"/>
          <w:szCs w:val="24"/>
        </w:rPr>
        <w:t>Halmos</w:t>
      </w:r>
      <w:proofErr w:type="spellEnd"/>
      <w:r w:rsidRPr="00085569">
        <w:rPr>
          <w:rFonts w:asciiTheme="minorHAnsi" w:eastAsia="Times New Roman" w:hAnsiTheme="minorHAnsi" w:cs="Arial"/>
          <w:b w:val="0"/>
          <w:color w:val="000000"/>
          <w:sz w:val="24"/>
          <w:szCs w:val="24"/>
        </w:rPr>
        <w:t xml:space="preserve"> B., </w:t>
      </w:r>
      <w:proofErr w:type="spellStart"/>
      <w:r w:rsidRPr="00085569">
        <w:rPr>
          <w:rFonts w:asciiTheme="minorHAnsi" w:eastAsia="Times New Roman" w:hAnsiTheme="minorHAnsi" w:cs="Arial"/>
          <w:b w:val="0"/>
          <w:color w:val="000000"/>
          <w:sz w:val="24"/>
          <w:szCs w:val="24"/>
        </w:rPr>
        <w:t>Boggon</w:t>
      </w:r>
      <w:proofErr w:type="spellEnd"/>
      <w:r w:rsidRPr="00085569">
        <w:rPr>
          <w:rFonts w:asciiTheme="minorHAnsi" w:eastAsia="Times New Roman" w:hAnsiTheme="minorHAnsi" w:cs="Arial"/>
          <w:b w:val="0"/>
          <w:color w:val="000000"/>
          <w:sz w:val="24"/>
          <w:szCs w:val="24"/>
        </w:rPr>
        <w:t xml:space="preserve"> T.J. 2008. 26(10).</w:t>
      </w:r>
      <w:r w:rsidR="004022AE">
        <w:rPr>
          <w:rFonts w:asciiTheme="minorHAnsi" w:eastAsia="Times New Roman" w:hAnsiTheme="minorHAnsi" w:cs="Arial"/>
          <w:b w:val="0"/>
          <w:color w:val="000000"/>
          <w:sz w:val="24"/>
          <w:szCs w:val="24"/>
        </w:rPr>
        <w:t xml:space="preserve"> J. </w:t>
      </w:r>
      <w:proofErr w:type="spellStart"/>
      <w:r w:rsidR="004022AE">
        <w:rPr>
          <w:rFonts w:asciiTheme="minorHAnsi" w:eastAsia="Times New Roman" w:hAnsiTheme="minorHAnsi" w:cs="Arial"/>
          <w:b w:val="0"/>
          <w:color w:val="000000"/>
          <w:sz w:val="24"/>
          <w:szCs w:val="24"/>
        </w:rPr>
        <w:t>Clin</w:t>
      </w:r>
      <w:proofErr w:type="spellEnd"/>
      <w:r w:rsidR="004022AE">
        <w:rPr>
          <w:rFonts w:asciiTheme="minorHAnsi" w:eastAsia="Times New Roman" w:hAnsiTheme="minorHAnsi" w:cs="Arial"/>
          <w:b w:val="0"/>
          <w:color w:val="000000"/>
          <w:sz w:val="24"/>
          <w:szCs w:val="24"/>
        </w:rPr>
        <w:t xml:space="preserve"> </w:t>
      </w:r>
      <w:proofErr w:type="spellStart"/>
      <w:r w:rsidR="004022AE">
        <w:rPr>
          <w:rFonts w:asciiTheme="minorHAnsi" w:eastAsia="Times New Roman" w:hAnsiTheme="minorHAnsi" w:cs="Arial"/>
          <w:b w:val="0"/>
          <w:color w:val="000000"/>
          <w:sz w:val="24"/>
          <w:szCs w:val="24"/>
        </w:rPr>
        <w:t>Onco</w:t>
      </w:r>
      <w:proofErr w:type="spellEnd"/>
      <w:r w:rsidR="004022AE">
        <w:rPr>
          <w:rFonts w:asciiTheme="minorHAnsi" w:eastAsia="Times New Roman" w:hAnsiTheme="minorHAnsi" w:cs="Arial"/>
          <w:b w:val="0"/>
          <w:color w:val="000000"/>
          <w:sz w:val="24"/>
          <w:szCs w:val="24"/>
        </w:rPr>
        <w:t>.</w:t>
      </w:r>
      <w:r>
        <w:rPr>
          <w:rFonts w:asciiTheme="minorHAnsi" w:eastAsia="Times New Roman" w:hAnsiTheme="minorHAnsi" w:cs="Arial"/>
          <w:color w:val="000000"/>
          <w:sz w:val="24"/>
          <w:szCs w:val="24"/>
        </w:rPr>
        <w:t xml:space="preserve"> </w:t>
      </w:r>
      <w:r w:rsidRPr="00085569">
        <w:rPr>
          <w:rFonts w:asciiTheme="minorHAnsi" w:eastAsia="Times New Roman" w:hAnsiTheme="minorHAnsi" w:cs="Arial"/>
          <w:color w:val="000000"/>
          <w:sz w:val="24"/>
          <w:szCs w:val="24"/>
        </w:rPr>
        <w:t>The Structure and Clinical Relevance of the EGF Receptor in Human Cancer</w:t>
      </w:r>
      <w:r>
        <w:rPr>
          <w:rFonts w:asciiTheme="minorHAnsi" w:eastAsia="Times New Roman" w:hAnsiTheme="minorHAnsi" w:cs="Arial"/>
          <w:color w:val="000000"/>
          <w:sz w:val="24"/>
          <w:szCs w:val="24"/>
        </w:rPr>
        <w:t xml:space="preserve">. </w:t>
      </w:r>
      <w:hyperlink r:id="rId12" w:history="1">
        <w:r w:rsidRPr="00085569">
          <w:rPr>
            <w:rStyle w:val="Hyperlink"/>
            <w:rFonts w:asciiTheme="minorHAnsi" w:eastAsia="Times New Roman" w:hAnsiTheme="minorHAnsi" w:cs="Arial"/>
            <w:b w:val="0"/>
            <w:sz w:val="24"/>
            <w:szCs w:val="24"/>
          </w:rPr>
          <w:t>https://www.ncbi.nlm.nih.gov/pmc/articles/PMC3799959/</w:t>
        </w:r>
      </w:hyperlink>
    </w:p>
    <w:p w14:paraId="2CFB8D3E" w14:textId="77777777" w:rsidR="00085569" w:rsidRPr="00085569" w:rsidRDefault="00085569" w:rsidP="00085569">
      <w:pPr>
        <w:pStyle w:val="Heading1"/>
        <w:spacing w:before="240" w:beforeAutospacing="0" w:after="120" w:afterAutospacing="0" w:line="324" w:lineRule="atLeast"/>
        <w:rPr>
          <w:rFonts w:asciiTheme="minorHAnsi" w:eastAsia="Times New Roman" w:hAnsiTheme="minorHAnsi" w:cs="Arial"/>
          <w:color w:val="000000"/>
          <w:sz w:val="24"/>
          <w:szCs w:val="24"/>
        </w:rPr>
      </w:pPr>
    </w:p>
    <w:p w14:paraId="341DD627" w14:textId="30CFDEA5" w:rsidR="00085569" w:rsidRPr="004022AE" w:rsidRDefault="00085569" w:rsidP="00085569">
      <w:pPr>
        <w:rPr>
          <w:rFonts w:ascii="Verdana" w:eastAsia="Times New Roman" w:hAnsi="Verdana"/>
          <w:color w:val="000000"/>
          <w:sz w:val="21"/>
          <w:szCs w:val="21"/>
        </w:rPr>
      </w:pPr>
      <w:r w:rsidRPr="00085569">
        <w:t>Sharma</w:t>
      </w:r>
      <w:r>
        <w:t xml:space="preserve"> S.V.</w:t>
      </w:r>
      <w:r w:rsidRPr="00085569">
        <w:t>, Bell</w:t>
      </w:r>
      <w:r>
        <w:t xml:space="preserve"> D.W.</w:t>
      </w:r>
      <w:r w:rsidRPr="00085569">
        <w:t xml:space="preserve">, </w:t>
      </w:r>
      <w:proofErr w:type="spellStart"/>
      <w:r w:rsidRPr="00085569">
        <w:t>Settleman</w:t>
      </w:r>
      <w:proofErr w:type="spellEnd"/>
      <w:r>
        <w:t xml:space="preserve"> J.</w:t>
      </w:r>
      <w:r w:rsidRPr="00085569">
        <w:t> </w:t>
      </w:r>
      <w:r>
        <w:t>and</w:t>
      </w:r>
      <w:r w:rsidRPr="00085569">
        <w:t xml:space="preserve"> Haber</w:t>
      </w:r>
      <w:r>
        <w:t xml:space="preserve"> D.A. Nature Reviews Cancer. 2007. 168-191.</w:t>
      </w:r>
      <w:r w:rsidRPr="00085569">
        <w:rPr>
          <w:rFonts w:ascii="Verdana" w:eastAsia="Times New Roman" w:hAnsi="Verdana"/>
          <w:b/>
          <w:color w:val="000000"/>
          <w:sz w:val="21"/>
          <w:szCs w:val="21"/>
        </w:rPr>
        <w:t xml:space="preserve"> </w:t>
      </w:r>
      <w:r w:rsidRPr="00085569">
        <w:rPr>
          <w:rFonts w:ascii="Verdana" w:eastAsia="Times New Roman" w:hAnsi="Verdana"/>
          <w:b/>
          <w:color w:val="000000"/>
          <w:sz w:val="21"/>
          <w:szCs w:val="21"/>
        </w:rPr>
        <w:t>Epidermal growth factor receptor mutations in lung cancer</w:t>
      </w:r>
      <w:r>
        <w:rPr>
          <w:rFonts w:ascii="Verdana" w:eastAsia="Times New Roman" w:hAnsi="Verdana"/>
          <w:b/>
          <w:color w:val="000000"/>
          <w:sz w:val="21"/>
          <w:szCs w:val="21"/>
        </w:rPr>
        <w:t>.</w:t>
      </w:r>
      <w:r w:rsidR="004022AE">
        <w:rPr>
          <w:rFonts w:ascii="Verdana" w:eastAsia="Times New Roman" w:hAnsi="Verdana"/>
          <w:b/>
          <w:color w:val="000000"/>
          <w:sz w:val="21"/>
          <w:szCs w:val="21"/>
        </w:rPr>
        <w:t xml:space="preserve"> </w:t>
      </w:r>
      <w:hyperlink r:id="rId13" w:history="1">
        <w:r w:rsidR="004022AE" w:rsidRPr="004022AE">
          <w:rPr>
            <w:rStyle w:val="Hyperlink"/>
            <w:rFonts w:ascii="Verdana" w:eastAsia="Times New Roman" w:hAnsi="Verdana"/>
            <w:sz w:val="21"/>
            <w:szCs w:val="21"/>
          </w:rPr>
          <w:t>https://www.nature.com/nrc/journal/v7/n3/full/nrc2088.html#B18</w:t>
        </w:r>
      </w:hyperlink>
    </w:p>
    <w:p w14:paraId="6C23161D" w14:textId="77777777" w:rsidR="004022AE" w:rsidRPr="00085569" w:rsidRDefault="004022AE" w:rsidP="00085569"/>
    <w:p w14:paraId="0A2F739B" w14:textId="77777777" w:rsidR="004022AE" w:rsidRDefault="004022AE" w:rsidP="004022AE">
      <w:proofErr w:type="spellStart"/>
      <w:r w:rsidRPr="002B0675">
        <w:rPr>
          <w:rStyle w:val="Emphasis"/>
          <w:rFonts w:eastAsia="Times New Roman"/>
          <w:i w:val="0"/>
        </w:rPr>
        <w:t>Arcila</w:t>
      </w:r>
      <w:proofErr w:type="spellEnd"/>
      <w:r w:rsidRPr="002B0675">
        <w:rPr>
          <w:rStyle w:val="Emphasis"/>
          <w:rFonts w:eastAsia="Times New Roman"/>
          <w:i w:val="0"/>
        </w:rPr>
        <w:t xml:space="preserve"> M. E. et al. </w:t>
      </w:r>
      <w:proofErr w:type="spellStart"/>
      <w:r w:rsidRPr="002B0675">
        <w:rPr>
          <w:rStyle w:val="Emphasis"/>
          <w:rFonts w:eastAsia="Times New Roman"/>
          <w:i w:val="0"/>
        </w:rPr>
        <w:t>Mol</w:t>
      </w:r>
      <w:proofErr w:type="spellEnd"/>
      <w:r w:rsidRPr="002B0675">
        <w:rPr>
          <w:rStyle w:val="Emphasis"/>
          <w:rFonts w:eastAsia="Times New Roman"/>
          <w:i w:val="0"/>
        </w:rPr>
        <w:t xml:space="preserve"> Cancer </w:t>
      </w:r>
      <w:proofErr w:type="spellStart"/>
      <w:r w:rsidRPr="002B0675">
        <w:rPr>
          <w:rStyle w:val="Emphasis"/>
          <w:rFonts w:eastAsia="Times New Roman"/>
          <w:i w:val="0"/>
        </w:rPr>
        <w:t>Ther</w:t>
      </w:r>
      <w:proofErr w:type="spellEnd"/>
      <w:r w:rsidRPr="002B0675">
        <w:rPr>
          <w:rStyle w:val="Emphasis"/>
          <w:rFonts w:eastAsia="Times New Roman"/>
          <w:i w:val="0"/>
        </w:rPr>
        <w:t>. Feb 2013. 12(2): 220-229</w:t>
      </w:r>
      <w:r w:rsidRPr="002B0675">
        <w:rPr>
          <w:rStyle w:val="Emphasis"/>
          <w:rFonts w:eastAsia="Times New Roman"/>
        </w:rPr>
        <w:t>.</w:t>
      </w:r>
      <w:r>
        <w:rPr>
          <w:rStyle w:val="Emphasis"/>
          <w:rFonts w:eastAsia="Times New Roman"/>
        </w:rPr>
        <w:t xml:space="preserve"> </w:t>
      </w:r>
      <w:r w:rsidRPr="002B0675">
        <w:rPr>
          <w:rStyle w:val="Emphasis"/>
          <w:rFonts w:eastAsia="Times New Roman"/>
          <w:b/>
        </w:rPr>
        <w:t>EGFR</w:t>
      </w:r>
      <w:r w:rsidRPr="002B0675">
        <w:rPr>
          <w:rFonts w:eastAsia="Times New Roman"/>
          <w:b/>
        </w:rPr>
        <w:t xml:space="preserve"> Exon 20 Insertion Mutations in Lung Adenocarcinomas: Prevalence, Molecular Heterogeneity, and </w:t>
      </w:r>
      <w:proofErr w:type="spellStart"/>
      <w:r w:rsidRPr="002B0675">
        <w:rPr>
          <w:rFonts w:eastAsia="Times New Roman"/>
          <w:b/>
        </w:rPr>
        <w:t>Clinicopathologic</w:t>
      </w:r>
      <w:proofErr w:type="spellEnd"/>
      <w:r w:rsidRPr="002B0675">
        <w:rPr>
          <w:rFonts w:eastAsia="Times New Roman"/>
          <w:b/>
        </w:rPr>
        <w:t xml:space="preserve"> Characteristics</w:t>
      </w:r>
      <w:r>
        <w:rPr>
          <w:rFonts w:eastAsia="Times New Roman"/>
          <w:b/>
        </w:rPr>
        <w:t xml:space="preserve"> </w:t>
      </w:r>
      <w:hyperlink r:id="rId14" w:history="1">
        <w:r w:rsidRPr="00683AD3">
          <w:rPr>
            <w:rStyle w:val="Hyperlink"/>
          </w:rPr>
          <w:t>https://www.ncbi.nlm.nih.gov/pmc/articles/PMC3714231/</w:t>
        </w:r>
      </w:hyperlink>
    </w:p>
    <w:p w14:paraId="7C2C1B69" w14:textId="77777777" w:rsidR="008A2922" w:rsidRDefault="008A2922"/>
    <w:p w14:paraId="385C9EFF" w14:textId="77777777" w:rsidR="004022AE" w:rsidRPr="002063D5" w:rsidRDefault="004022AE" w:rsidP="004022AE">
      <w:pPr>
        <w:pStyle w:val="Heading1"/>
        <w:rPr>
          <w:rFonts w:eastAsia="Times New Roman"/>
          <w:sz w:val="24"/>
          <w:szCs w:val="24"/>
          <w:u w:val="single"/>
        </w:rPr>
      </w:pPr>
      <w:r w:rsidRPr="002063D5">
        <w:rPr>
          <w:rFonts w:eastAsia="Times New Roman"/>
          <w:b w:val="0"/>
          <w:sz w:val="24"/>
          <w:szCs w:val="24"/>
        </w:rPr>
        <w:t>Yasuda H. et al</w:t>
      </w:r>
      <w:r>
        <w:rPr>
          <w:rFonts w:eastAsia="Times New Roman"/>
          <w:b w:val="0"/>
          <w:sz w:val="24"/>
          <w:szCs w:val="24"/>
        </w:rPr>
        <w:t xml:space="preserve">. </w:t>
      </w:r>
      <w:proofErr w:type="spellStart"/>
      <w:r>
        <w:rPr>
          <w:rFonts w:eastAsia="Times New Roman"/>
          <w:b w:val="0"/>
          <w:sz w:val="24"/>
          <w:szCs w:val="24"/>
        </w:rPr>
        <w:t>Sci</w:t>
      </w:r>
      <w:proofErr w:type="spellEnd"/>
      <w:r>
        <w:rPr>
          <w:rFonts w:eastAsia="Times New Roman"/>
          <w:b w:val="0"/>
          <w:sz w:val="24"/>
          <w:szCs w:val="24"/>
        </w:rPr>
        <w:t xml:space="preserve"> </w:t>
      </w:r>
      <w:proofErr w:type="spellStart"/>
      <w:r>
        <w:rPr>
          <w:rFonts w:eastAsia="Times New Roman"/>
          <w:b w:val="0"/>
          <w:sz w:val="24"/>
          <w:szCs w:val="24"/>
        </w:rPr>
        <w:t>Transl</w:t>
      </w:r>
      <w:proofErr w:type="spellEnd"/>
      <w:r>
        <w:rPr>
          <w:rFonts w:eastAsia="Times New Roman"/>
          <w:b w:val="0"/>
          <w:sz w:val="24"/>
          <w:szCs w:val="24"/>
        </w:rPr>
        <w:t xml:space="preserve"> Med. Dec 18, 2013. 5(216).</w:t>
      </w:r>
      <w:r>
        <w:rPr>
          <w:rFonts w:eastAsia="Times New Roman"/>
          <w:sz w:val="24"/>
          <w:szCs w:val="24"/>
          <w:u w:val="single"/>
        </w:rPr>
        <w:t xml:space="preserve"> </w:t>
      </w:r>
      <w:r w:rsidRPr="002063D5">
        <w:rPr>
          <w:rFonts w:eastAsia="Times New Roman"/>
          <w:sz w:val="24"/>
          <w:szCs w:val="24"/>
        </w:rPr>
        <w:t>Structural, biochemical and clinical characterization of epidermal growth factor receptor (EGFR) exon 20 insertion mutations in lung cancer</w:t>
      </w:r>
      <w:r>
        <w:rPr>
          <w:rFonts w:eastAsia="Times New Roman"/>
          <w:sz w:val="24"/>
          <w:szCs w:val="24"/>
        </w:rPr>
        <w:t xml:space="preserve"> </w:t>
      </w:r>
      <w:hyperlink r:id="rId15" w:history="1">
        <w:r w:rsidRPr="002063D5">
          <w:rPr>
            <w:rStyle w:val="Hyperlink"/>
            <w:sz w:val="24"/>
            <w:szCs w:val="24"/>
          </w:rPr>
          <w:t>https://www.ncbi.nlm.nih.gov/pmc/articles/PMC3954775/</w:t>
        </w:r>
      </w:hyperlink>
    </w:p>
    <w:p w14:paraId="10C6A1E6" w14:textId="77777777" w:rsidR="004022AE" w:rsidRDefault="004022AE" w:rsidP="004022AE">
      <w:pPr>
        <w:spacing w:before="100" w:beforeAutospacing="1" w:after="100" w:afterAutospacing="1"/>
        <w:outlineLvl w:val="0"/>
        <w:rPr>
          <w:rFonts w:ascii="Times New Roman" w:eastAsia="Times New Roman" w:hAnsi="Times New Roman" w:cs="Times New Roman"/>
          <w:b/>
          <w:bCs/>
          <w:kern w:val="36"/>
        </w:rPr>
      </w:pPr>
      <w:proofErr w:type="spellStart"/>
      <w:r w:rsidRPr="008E1500">
        <w:rPr>
          <w:rFonts w:ascii="Times New Roman" w:eastAsia="Times New Roman" w:hAnsi="Times New Roman" w:cs="Times New Roman"/>
          <w:bCs/>
          <w:kern w:val="36"/>
        </w:rPr>
        <w:t>Pao</w:t>
      </w:r>
      <w:proofErr w:type="spellEnd"/>
      <w:r w:rsidRPr="008E1500">
        <w:rPr>
          <w:rFonts w:ascii="Times New Roman" w:eastAsia="Times New Roman" w:hAnsi="Times New Roman" w:cs="Times New Roman"/>
          <w:bCs/>
          <w:kern w:val="36"/>
        </w:rPr>
        <w:t xml:space="preserve"> W. et al. </w:t>
      </w:r>
      <w:proofErr w:type="spellStart"/>
      <w:r w:rsidRPr="008E1500">
        <w:rPr>
          <w:rFonts w:ascii="Times New Roman" w:eastAsia="Times New Roman" w:hAnsi="Times New Roman" w:cs="Times New Roman"/>
          <w:bCs/>
          <w:kern w:val="36"/>
        </w:rPr>
        <w:t>PLoS</w:t>
      </w:r>
      <w:proofErr w:type="spellEnd"/>
      <w:r w:rsidRPr="008E1500">
        <w:rPr>
          <w:rFonts w:ascii="Times New Roman" w:eastAsia="Times New Roman" w:hAnsi="Times New Roman" w:cs="Times New Roman"/>
          <w:bCs/>
          <w:kern w:val="36"/>
        </w:rPr>
        <w:t xml:space="preserve"> Med. Mar, 2005. 2(3).</w:t>
      </w:r>
      <w:r>
        <w:rPr>
          <w:rFonts w:ascii="Times New Roman" w:eastAsia="Times New Roman" w:hAnsi="Times New Roman" w:cs="Times New Roman"/>
          <w:b/>
          <w:bCs/>
          <w:kern w:val="36"/>
        </w:rPr>
        <w:t xml:space="preserve"> </w:t>
      </w:r>
      <w:r w:rsidRPr="0087044F">
        <w:rPr>
          <w:rFonts w:ascii="Times New Roman" w:eastAsia="Times New Roman" w:hAnsi="Times New Roman" w:cs="Times New Roman"/>
          <w:b/>
          <w:bCs/>
          <w:kern w:val="36"/>
        </w:rPr>
        <w:t xml:space="preserve">Acquired Resistance of Lung Adenocarcinomas to </w:t>
      </w:r>
      <w:proofErr w:type="spellStart"/>
      <w:r w:rsidRPr="0087044F">
        <w:rPr>
          <w:rFonts w:ascii="Times New Roman" w:eastAsia="Times New Roman" w:hAnsi="Times New Roman" w:cs="Times New Roman"/>
          <w:b/>
          <w:bCs/>
          <w:kern w:val="36"/>
        </w:rPr>
        <w:t>Gefitinib</w:t>
      </w:r>
      <w:proofErr w:type="spellEnd"/>
      <w:r w:rsidRPr="0087044F">
        <w:rPr>
          <w:rFonts w:ascii="Times New Roman" w:eastAsia="Times New Roman" w:hAnsi="Times New Roman" w:cs="Times New Roman"/>
          <w:b/>
          <w:bCs/>
          <w:kern w:val="36"/>
        </w:rPr>
        <w:t xml:space="preserve"> or Erlotinib Is Associated with a Second Mutation in the EGFR Kinase Domain</w:t>
      </w:r>
      <w:r>
        <w:rPr>
          <w:rFonts w:ascii="Times New Roman" w:eastAsia="Times New Roman" w:hAnsi="Times New Roman" w:cs="Times New Roman"/>
          <w:b/>
          <w:bCs/>
          <w:kern w:val="36"/>
        </w:rPr>
        <w:t xml:space="preserve"> </w:t>
      </w:r>
      <w:hyperlink r:id="rId16" w:history="1">
        <w:r w:rsidRPr="00683AD3">
          <w:rPr>
            <w:rStyle w:val="Hyperlink"/>
            <w:rFonts w:ascii="Times New Roman" w:eastAsia="Times New Roman" w:hAnsi="Times New Roman" w:cs="Times New Roman"/>
            <w:b/>
            <w:bCs/>
            <w:kern w:val="36"/>
          </w:rPr>
          <w:t>https://www.ncbi.nlm.nih.gov/pmc/articles/PMC549606/</w:t>
        </w:r>
      </w:hyperlink>
    </w:p>
    <w:p w14:paraId="16F24087" w14:textId="199A4A3B" w:rsidR="004022AE" w:rsidRPr="004022AE" w:rsidRDefault="004022AE" w:rsidP="004022AE">
      <w:pPr>
        <w:rPr>
          <w:rFonts w:eastAsia="Times New Roman"/>
          <w:bCs/>
          <w:color w:val="333333"/>
        </w:rPr>
      </w:pPr>
      <w:hyperlink r:id="rId17" w:history="1">
        <w:r w:rsidRPr="004022AE">
          <w:t>Oxnard</w:t>
        </w:r>
      </w:hyperlink>
      <w:r>
        <w:t xml:space="preserve"> G.R., </w:t>
      </w:r>
      <w:hyperlink r:id="rId18" w:history="1">
        <w:r w:rsidRPr="004022AE">
          <w:t xml:space="preserve"> Lo</w:t>
        </w:r>
      </w:hyperlink>
      <w:r>
        <w:t xml:space="preserve"> P.C.</w:t>
      </w:r>
      <w:r w:rsidRPr="004022AE">
        <w:t xml:space="preserve">, </w:t>
      </w:r>
      <w:hyperlink r:id="rId19" w:history="1">
        <w:r w:rsidRPr="004022AE">
          <w:t xml:space="preserve"> Nishino</w:t>
        </w:r>
      </w:hyperlink>
      <w:r>
        <w:t xml:space="preserve"> M.,</w:t>
      </w:r>
      <w:r w:rsidRPr="004022AE">
        <w:t xml:space="preserve"> </w:t>
      </w:r>
      <w:hyperlink r:id="rId20" w:history="1">
        <w:r w:rsidRPr="004022AE">
          <w:t xml:space="preserve"> Dahlberg</w:t>
        </w:r>
      </w:hyperlink>
      <w:r>
        <w:t xml:space="preserve"> S. E.,</w:t>
      </w:r>
      <w:r w:rsidRPr="004022AE">
        <w:t xml:space="preserve"> </w:t>
      </w:r>
      <w:hyperlink r:id="rId21" w:history="1">
        <w:r w:rsidRPr="004022AE">
          <w:t xml:space="preserve"> Lindeman</w:t>
        </w:r>
      </w:hyperlink>
      <w:r>
        <w:t xml:space="preserve"> N. I.,</w:t>
      </w:r>
      <w:r w:rsidRPr="004022AE">
        <w:t xml:space="preserve"> </w:t>
      </w:r>
      <w:hyperlink r:id="rId22" w:history="1">
        <w:proofErr w:type="spellStart"/>
        <w:r w:rsidRPr="004022AE">
          <w:t>Butaney</w:t>
        </w:r>
        <w:proofErr w:type="spellEnd"/>
      </w:hyperlink>
      <w:r>
        <w:t xml:space="preserve"> M.</w:t>
      </w:r>
      <w:r w:rsidRPr="004022AE">
        <w:t xml:space="preserve">, </w:t>
      </w:r>
      <w:hyperlink r:id="rId23" w:history="1">
        <w:r w:rsidRPr="004022AE">
          <w:t xml:space="preserve"> Jackman</w:t>
        </w:r>
      </w:hyperlink>
      <w:r>
        <w:t xml:space="preserve"> D. M.</w:t>
      </w:r>
      <w:r w:rsidRPr="004022AE">
        <w:t xml:space="preserve">, </w:t>
      </w:r>
      <w:hyperlink r:id="rId24" w:history="1">
        <w:r w:rsidRPr="004022AE">
          <w:t>Johnson</w:t>
        </w:r>
      </w:hyperlink>
      <w:r>
        <w:t xml:space="preserve"> B. E.</w:t>
      </w:r>
      <w:r w:rsidRPr="004022AE">
        <w:t xml:space="preserve">, </w:t>
      </w:r>
      <w:hyperlink r:id="rId25" w:history="1">
        <w:proofErr w:type="spellStart"/>
        <w:r w:rsidRPr="004022AE">
          <w:t>Jänne</w:t>
        </w:r>
        <w:proofErr w:type="spellEnd"/>
      </w:hyperlink>
      <w:r>
        <w:t xml:space="preserve"> P. A. Journal of Thoracic Oncology. 2013. 8(2). 179-184.</w:t>
      </w:r>
      <w:r>
        <w:t xml:space="preserve"> </w:t>
      </w:r>
      <w:r w:rsidRPr="004022AE">
        <w:rPr>
          <w:rFonts w:eastAsia="Times New Roman"/>
          <w:b/>
          <w:bCs/>
          <w:color w:val="333333"/>
        </w:rPr>
        <w:t>Natural History and Molecular Characteristics of Lung Cancers Harboring</w:t>
      </w:r>
      <w:r w:rsidRPr="004022AE">
        <w:rPr>
          <w:rStyle w:val="apple-converted-space"/>
          <w:rFonts w:eastAsia="Times New Roman"/>
          <w:b/>
          <w:bCs/>
          <w:color w:val="333333"/>
        </w:rPr>
        <w:t> </w:t>
      </w:r>
      <w:r w:rsidRPr="004022AE">
        <w:rPr>
          <w:rStyle w:val="Emphasis"/>
          <w:rFonts w:eastAsia="Times New Roman"/>
          <w:b/>
          <w:bCs/>
          <w:color w:val="333333"/>
        </w:rPr>
        <w:t>EGFR</w:t>
      </w:r>
      <w:r w:rsidRPr="004022AE">
        <w:rPr>
          <w:rStyle w:val="apple-converted-space"/>
          <w:rFonts w:eastAsia="Times New Roman"/>
          <w:b/>
          <w:bCs/>
          <w:color w:val="333333"/>
        </w:rPr>
        <w:t> </w:t>
      </w:r>
      <w:r w:rsidRPr="004022AE">
        <w:rPr>
          <w:rFonts w:eastAsia="Times New Roman"/>
          <w:b/>
          <w:bCs/>
          <w:color w:val="333333"/>
        </w:rPr>
        <w:t>Exon 20 Insertions</w:t>
      </w:r>
      <w:r>
        <w:rPr>
          <w:rFonts w:eastAsia="Times New Roman"/>
          <w:b/>
          <w:bCs/>
          <w:color w:val="333333"/>
        </w:rPr>
        <w:t xml:space="preserve">. </w:t>
      </w:r>
      <w:hyperlink r:id="rId26" w:history="1">
        <w:r w:rsidRPr="004022AE">
          <w:rPr>
            <w:rStyle w:val="Hyperlink"/>
            <w:rFonts w:eastAsia="Times New Roman"/>
            <w:bCs/>
          </w:rPr>
          <w:t>http://www.jto.org/article/S1556-0864(15)32739-8/fulltext#tbl1</w:t>
        </w:r>
      </w:hyperlink>
    </w:p>
    <w:p w14:paraId="5498E9B9" w14:textId="77777777" w:rsidR="004022AE" w:rsidRPr="004022AE" w:rsidRDefault="004022AE" w:rsidP="004022AE">
      <w:pPr>
        <w:rPr>
          <w:b/>
        </w:rPr>
      </w:pPr>
    </w:p>
    <w:p w14:paraId="400FC80C" w14:textId="77777777" w:rsidR="004022AE" w:rsidRDefault="004022AE" w:rsidP="004022AE"/>
    <w:p w14:paraId="2279DE94" w14:textId="11CB563F" w:rsidR="004022AE" w:rsidRDefault="004022AE">
      <w:r>
        <w:t>Pear W. S.</w:t>
      </w:r>
      <w:r w:rsidRPr="004022AE">
        <w:t xml:space="preserve">, </w:t>
      </w:r>
      <w:r>
        <w:t>Nolan G. P.</w:t>
      </w:r>
      <w:r w:rsidRPr="004022AE">
        <w:t xml:space="preserve"> </w:t>
      </w:r>
      <w:r>
        <w:t>Scott M. L.</w:t>
      </w:r>
      <w:r w:rsidRPr="004022AE">
        <w:t xml:space="preserve">, </w:t>
      </w:r>
      <w:r>
        <w:t>and Baltimore D</w:t>
      </w:r>
      <w:r w:rsidRPr="00C72575">
        <w:rPr>
          <w:b/>
        </w:rPr>
        <w:t xml:space="preserve">.  Production of high-titer helper-free retroviruses by transient </w:t>
      </w:r>
      <w:r w:rsidR="00C72575" w:rsidRPr="00C72575">
        <w:rPr>
          <w:b/>
        </w:rPr>
        <w:t>transfection</w:t>
      </w:r>
      <w:r w:rsidR="00C72575">
        <w:t xml:space="preserve">. 1993. Proc Natl </w:t>
      </w:r>
      <w:proofErr w:type="spellStart"/>
      <w:r w:rsidR="00C72575">
        <w:t>Acad</w:t>
      </w:r>
      <w:proofErr w:type="spellEnd"/>
      <w:r w:rsidR="00C72575">
        <w:t xml:space="preserve"> Sci. Vol 90. </w:t>
      </w:r>
      <w:hyperlink r:id="rId27" w:history="1">
        <w:r w:rsidR="00C72575" w:rsidRPr="00FC661A">
          <w:rPr>
            <w:rStyle w:val="Hyperlink"/>
          </w:rPr>
          <w:t>http://www.pnas.org/content/90/18/8392.full.pdf</w:t>
        </w:r>
      </w:hyperlink>
    </w:p>
    <w:p w14:paraId="7A6DEFFF" w14:textId="77777777" w:rsidR="00C72575" w:rsidRDefault="00C72575"/>
    <w:p w14:paraId="67ADC59E" w14:textId="4818CA52" w:rsidR="00C72575" w:rsidRDefault="00C72575" w:rsidP="00C72575">
      <w:pPr>
        <w:rPr>
          <w:b/>
        </w:rPr>
      </w:pPr>
      <w:r>
        <w:t xml:space="preserve">Kim T. K., </w:t>
      </w:r>
      <w:proofErr w:type="spellStart"/>
      <w:r>
        <w:t>Eberwine</w:t>
      </w:r>
      <w:proofErr w:type="spellEnd"/>
      <w:r>
        <w:t xml:space="preserve"> J. H. 2010. Anal </w:t>
      </w:r>
      <w:proofErr w:type="spellStart"/>
      <w:r>
        <w:t>Bioanal</w:t>
      </w:r>
      <w:proofErr w:type="spellEnd"/>
      <w:r>
        <w:t xml:space="preserve"> Chem. 397(8). </w:t>
      </w:r>
      <w:r w:rsidRPr="00C72575">
        <w:rPr>
          <w:b/>
        </w:rPr>
        <w:t>Mammalian cell transfection: the present and the future</w:t>
      </w:r>
      <w:r>
        <w:rPr>
          <w:b/>
        </w:rPr>
        <w:t xml:space="preserve">. </w:t>
      </w:r>
      <w:hyperlink r:id="rId28" w:history="1">
        <w:r w:rsidRPr="00C72575">
          <w:rPr>
            <w:rStyle w:val="Hyperlink"/>
          </w:rPr>
          <w:t>https://www.ncbi.nlm.nih.gov/pmc/articles/PMC2911531/</w:t>
        </w:r>
      </w:hyperlink>
    </w:p>
    <w:p w14:paraId="7FB65C77" w14:textId="77777777" w:rsidR="00C72575" w:rsidRPr="00C72575" w:rsidRDefault="00C72575" w:rsidP="00C72575">
      <w:pPr>
        <w:rPr>
          <w:b/>
        </w:rPr>
      </w:pPr>
    </w:p>
    <w:p w14:paraId="5A91C866" w14:textId="6D80FDDD" w:rsidR="00D5420D" w:rsidRDefault="00D5420D" w:rsidP="00D5420D">
      <w:pPr>
        <w:pStyle w:val="Heading1"/>
        <w:spacing w:before="240" w:beforeAutospacing="0" w:after="120" w:afterAutospacing="0" w:line="324" w:lineRule="atLeast"/>
        <w:rPr>
          <w:rFonts w:asciiTheme="minorHAnsi" w:eastAsia="Times New Roman" w:hAnsiTheme="minorHAnsi" w:cs="Arial"/>
          <w:color w:val="000000"/>
          <w:sz w:val="24"/>
          <w:szCs w:val="24"/>
        </w:rPr>
      </w:pPr>
      <w:r w:rsidRPr="00D5420D">
        <w:rPr>
          <w:rFonts w:asciiTheme="minorHAnsi" w:eastAsia="Times New Roman" w:hAnsiTheme="minorHAnsi" w:cs="Arial"/>
          <w:b w:val="0"/>
          <w:color w:val="000000"/>
          <w:sz w:val="24"/>
          <w:szCs w:val="24"/>
        </w:rPr>
        <w:t>Mahmood T., Yang P. C. 2012. N Am J Med. 4(9).</w:t>
      </w:r>
      <w:r>
        <w:rPr>
          <w:rFonts w:asciiTheme="minorHAnsi" w:eastAsia="Times New Roman" w:hAnsiTheme="minorHAnsi" w:cs="Arial"/>
          <w:color w:val="000000"/>
          <w:sz w:val="24"/>
          <w:szCs w:val="24"/>
        </w:rPr>
        <w:t xml:space="preserve"> </w:t>
      </w:r>
      <w:r w:rsidRPr="00D5420D">
        <w:rPr>
          <w:rFonts w:asciiTheme="minorHAnsi" w:eastAsia="Times New Roman" w:hAnsiTheme="minorHAnsi" w:cs="Arial"/>
          <w:color w:val="000000"/>
          <w:sz w:val="24"/>
          <w:szCs w:val="24"/>
        </w:rPr>
        <w:t>Western Blot: Technique, Theory, and Trouble Shooting</w:t>
      </w:r>
      <w:r>
        <w:rPr>
          <w:rFonts w:asciiTheme="minorHAnsi" w:eastAsia="Times New Roman" w:hAnsiTheme="minorHAnsi" w:cs="Arial"/>
          <w:color w:val="000000"/>
          <w:sz w:val="24"/>
          <w:szCs w:val="24"/>
        </w:rPr>
        <w:t xml:space="preserve">. </w:t>
      </w:r>
      <w:hyperlink r:id="rId29" w:history="1">
        <w:r w:rsidRPr="00FC661A">
          <w:rPr>
            <w:rStyle w:val="Hyperlink"/>
            <w:rFonts w:asciiTheme="minorHAnsi" w:eastAsia="Times New Roman" w:hAnsiTheme="minorHAnsi" w:cs="Arial"/>
            <w:sz w:val="24"/>
            <w:szCs w:val="24"/>
          </w:rPr>
          <w:t>https://www.ncbi.nlm.nih.gov/pmc/articles/PMC3456489/</w:t>
        </w:r>
      </w:hyperlink>
    </w:p>
    <w:p w14:paraId="40B873D2" w14:textId="77777777" w:rsidR="00C72575" w:rsidRDefault="00C72575">
      <w:pPr>
        <w:rPr>
          <w:rFonts w:eastAsia="Times New Roman" w:cs="Arial"/>
          <w:b/>
          <w:bCs/>
          <w:color w:val="000000"/>
          <w:kern w:val="36"/>
        </w:rPr>
      </w:pPr>
    </w:p>
    <w:p w14:paraId="2FE09F80" w14:textId="7A5D3E05" w:rsidR="00D5420D" w:rsidRDefault="00D5420D" w:rsidP="00D5420D">
      <w:pPr>
        <w:rPr>
          <w:b/>
        </w:rPr>
      </w:pPr>
      <w:hyperlink r:id="rId30" w:history="1">
        <w:r w:rsidRPr="00D5420D">
          <w:t>Jiang J</w:t>
        </w:r>
      </w:hyperlink>
      <w:r w:rsidRPr="00D5420D">
        <w:t>, </w:t>
      </w:r>
      <w:hyperlink r:id="rId31" w:history="1">
        <w:proofErr w:type="spellStart"/>
        <w:r w:rsidRPr="00D5420D">
          <w:t>Greulich</w:t>
        </w:r>
        <w:proofErr w:type="spellEnd"/>
        <w:r w:rsidRPr="00D5420D">
          <w:t xml:space="preserve"> H</w:t>
        </w:r>
      </w:hyperlink>
      <w:r w:rsidRPr="00D5420D">
        <w:t>, </w:t>
      </w:r>
      <w:hyperlink r:id="rId32" w:history="1">
        <w:proofErr w:type="spellStart"/>
        <w:r w:rsidRPr="00D5420D">
          <w:t>Jänne</w:t>
        </w:r>
        <w:proofErr w:type="spellEnd"/>
        <w:r w:rsidRPr="00D5420D">
          <w:t xml:space="preserve"> PA</w:t>
        </w:r>
      </w:hyperlink>
      <w:r w:rsidRPr="00D5420D">
        <w:t>, </w:t>
      </w:r>
      <w:hyperlink r:id="rId33" w:history="1">
        <w:r w:rsidRPr="00D5420D">
          <w:t>Sellers WR</w:t>
        </w:r>
      </w:hyperlink>
      <w:r w:rsidRPr="00D5420D">
        <w:t>, </w:t>
      </w:r>
      <w:hyperlink r:id="rId34" w:history="1">
        <w:r w:rsidRPr="00D5420D">
          <w:t>Meyerson M</w:t>
        </w:r>
      </w:hyperlink>
      <w:r w:rsidRPr="00D5420D">
        <w:t>, </w:t>
      </w:r>
      <w:hyperlink r:id="rId35" w:history="1">
        <w:r w:rsidRPr="00D5420D">
          <w:t>Griffin JD</w:t>
        </w:r>
      </w:hyperlink>
      <w:r w:rsidRPr="00D5420D">
        <w:t>.</w:t>
      </w:r>
      <w:r>
        <w:t xml:space="preserve"> 2005. Cancer Res. 65 (19). </w:t>
      </w:r>
      <w:r w:rsidRPr="00D5420D">
        <w:rPr>
          <w:b/>
        </w:rPr>
        <w:t xml:space="preserve">Epidermal Growth Factor–Independent Transformation of Ba/F3 Cells with Cancer-Derived Epidermal Growth Factor Receptor Mutants Induces </w:t>
      </w:r>
      <w:proofErr w:type="spellStart"/>
      <w:r w:rsidRPr="00D5420D">
        <w:rPr>
          <w:b/>
        </w:rPr>
        <w:t>Gefitinib</w:t>
      </w:r>
      <w:proofErr w:type="spellEnd"/>
      <w:r w:rsidRPr="00D5420D">
        <w:rPr>
          <w:b/>
        </w:rPr>
        <w:t>-Sensitive Cell Cycle Progression</w:t>
      </w:r>
      <w:r>
        <w:rPr>
          <w:b/>
        </w:rPr>
        <w:t xml:space="preserve">. </w:t>
      </w:r>
      <w:hyperlink r:id="rId36" w:history="1">
        <w:r w:rsidRPr="00D5420D">
          <w:rPr>
            <w:rStyle w:val="Hyperlink"/>
          </w:rPr>
          <w:t>https://www-ncbi-nlm-nih-gov.proxy.library.vcu.edu/pubmed/16204070?dopt=Abstract&amp;holding=npg</w:t>
        </w:r>
      </w:hyperlink>
    </w:p>
    <w:p w14:paraId="45C4A054" w14:textId="77777777" w:rsidR="00D5420D" w:rsidRPr="00D5420D" w:rsidRDefault="00D5420D" w:rsidP="00D5420D">
      <w:pPr>
        <w:rPr>
          <w:b/>
        </w:rPr>
      </w:pPr>
    </w:p>
    <w:p w14:paraId="4A5B4329" w14:textId="77777777" w:rsidR="00C03321" w:rsidRDefault="00C03321" w:rsidP="00C03321">
      <w:pPr>
        <w:pStyle w:val="Heading1"/>
        <w:rPr>
          <w:rFonts w:eastAsia="Times New Roman"/>
          <w:sz w:val="24"/>
          <w:szCs w:val="24"/>
        </w:rPr>
      </w:pPr>
      <w:r w:rsidRPr="008E1500">
        <w:rPr>
          <w:rFonts w:eastAsia="Times New Roman"/>
          <w:b w:val="0"/>
          <w:sz w:val="24"/>
          <w:szCs w:val="24"/>
        </w:rPr>
        <w:t xml:space="preserve">Russo A. et al. </w:t>
      </w:r>
      <w:proofErr w:type="spellStart"/>
      <w:r w:rsidRPr="008E1500">
        <w:rPr>
          <w:rFonts w:eastAsia="Times New Roman"/>
          <w:b w:val="0"/>
          <w:sz w:val="24"/>
          <w:szCs w:val="24"/>
        </w:rPr>
        <w:t>Oncotarget</w:t>
      </w:r>
      <w:proofErr w:type="spellEnd"/>
      <w:r w:rsidRPr="008E1500">
        <w:rPr>
          <w:rFonts w:eastAsia="Times New Roman"/>
          <w:b w:val="0"/>
          <w:sz w:val="24"/>
          <w:szCs w:val="24"/>
        </w:rPr>
        <w:t xml:space="preserve">. Sep 29, 2015. 6(29): 26814-26825. </w:t>
      </w:r>
      <w:r w:rsidRPr="00114E32">
        <w:rPr>
          <w:rFonts w:eastAsia="Times New Roman"/>
          <w:sz w:val="24"/>
          <w:szCs w:val="24"/>
        </w:rPr>
        <w:t xml:space="preserve">A decade of EGFR inhibition in EGFR-mutated </w:t>
      </w:r>
      <w:proofErr w:type="spellStart"/>
      <w:proofErr w:type="gramStart"/>
      <w:r w:rsidRPr="00114E32">
        <w:rPr>
          <w:rFonts w:eastAsia="Times New Roman"/>
          <w:sz w:val="24"/>
          <w:szCs w:val="24"/>
        </w:rPr>
        <w:t>non small</w:t>
      </w:r>
      <w:proofErr w:type="spellEnd"/>
      <w:proofErr w:type="gramEnd"/>
      <w:r w:rsidRPr="00114E32">
        <w:rPr>
          <w:rFonts w:eastAsia="Times New Roman"/>
          <w:sz w:val="24"/>
          <w:szCs w:val="24"/>
        </w:rPr>
        <w:t xml:space="preserve"> cell lung cancer (NSCLC): Old successes and future perspectives</w:t>
      </w:r>
    </w:p>
    <w:p w14:paraId="053E70E4" w14:textId="33B3A256" w:rsidR="008D6E35" w:rsidRDefault="000E1AA0" w:rsidP="008D6E35">
      <w:proofErr w:type="spellStart"/>
      <w:r w:rsidRPr="000E1AA0">
        <w:t>Lichun</w:t>
      </w:r>
      <w:proofErr w:type="spellEnd"/>
      <w:r w:rsidRPr="000E1AA0">
        <w:t> M</w:t>
      </w:r>
      <w:r>
        <w:t xml:space="preserve">a, </w:t>
      </w:r>
      <w:r w:rsidRPr="000E1AA0">
        <w:t>Wang</w:t>
      </w:r>
      <w:r>
        <w:t xml:space="preserve"> D. D.</w:t>
      </w:r>
      <w:r w:rsidRPr="000E1AA0">
        <w:t>, Huang</w:t>
      </w:r>
      <w:r>
        <w:t xml:space="preserve"> Y.</w:t>
      </w:r>
      <w:r w:rsidRPr="000E1AA0">
        <w:t>, Yan</w:t>
      </w:r>
      <w:r>
        <w:t xml:space="preserve"> H.</w:t>
      </w:r>
      <w:r w:rsidRPr="000E1AA0">
        <w:t>, Wong</w:t>
      </w:r>
      <w:r>
        <w:t xml:space="preserve"> M. P.</w:t>
      </w:r>
      <w:r w:rsidRPr="000E1AA0">
        <w:t> and Lee</w:t>
      </w:r>
      <w:r>
        <w:t xml:space="preserve"> HF. 2015. BMC Bioinformatics. </w:t>
      </w:r>
      <w:r w:rsidR="008D6E35" w:rsidRPr="000E1AA0">
        <w:rPr>
          <w:b/>
        </w:rPr>
        <w:t xml:space="preserve">EGFR Mutant Structural Database: computationally predicted 3D structures and the corresponding binding free energies with </w:t>
      </w:r>
      <w:proofErr w:type="spellStart"/>
      <w:r w:rsidR="008D6E35" w:rsidRPr="000E1AA0">
        <w:rPr>
          <w:b/>
        </w:rPr>
        <w:t>gefitinib</w:t>
      </w:r>
      <w:proofErr w:type="spellEnd"/>
      <w:r w:rsidR="008D6E35" w:rsidRPr="000E1AA0">
        <w:rPr>
          <w:b/>
        </w:rPr>
        <w:t xml:space="preserve"> and </w:t>
      </w:r>
      <w:proofErr w:type="spellStart"/>
      <w:r w:rsidR="008D6E35" w:rsidRPr="000E1AA0">
        <w:rPr>
          <w:b/>
        </w:rPr>
        <w:t>erlotinib</w:t>
      </w:r>
      <w:proofErr w:type="spellEnd"/>
      <w:r w:rsidRPr="000E1AA0">
        <w:rPr>
          <w:b/>
        </w:rPr>
        <w:t xml:space="preserve">. </w:t>
      </w:r>
      <w:hyperlink r:id="rId37" w:history="1">
        <w:r w:rsidRPr="00FC661A">
          <w:rPr>
            <w:rStyle w:val="Hyperlink"/>
          </w:rPr>
          <w:t>https://bmcbioinformatics.biomedcentral.com/articles/10.1186/s12859-015-0522-3</w:t>
        </w:r>
      </w:hyperlink>
    </w:p>
    <w:p w14:paraId="33967058" w14:textId="77777777" w:rsidR="000E1AA0" w:rsidRPr="008D6E35" w:rsidRDefault="000E1AA0" w:rsidP="008D6E35"/>
    <w:p w14:paraId="0996CA23" w14:textId="4A750DD8" w:rsidR="00D5420D" w:rsidRDefault="00D5420D"/>
    <w:sectPr w:rsidR="00D5420D" w:rsidSect="00C71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97221"/>
    <w:multiLevelType w:val="hybridMultilevel"/>
    <w:tmpl w:val="26BA10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AE468E"/>
    <w:multiLevelType w:val="hybridMultilevel"/>
    <w:tmpl w:val="4A3A06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A1"/>
    <w:rsid w:val="00000491"/>
    <w:rsid w:val="00042E58"/>
    <w:rsid w:val="00085569"/>
    <w:rsid w:val="000879BF"/>
    <w:rsid w:val="00093DF7"/>
    <w:rsid w:val="000948A6"/>
    <w:rsid w:val="00096EE0"/>
    <w:rsid w:val="000D0DFB"/>
    <w:rsid w:val="000E1AA0"/>
    <w:rsid w:val="00140F6C"/>
    <w:rsid w:val="00187849"/>
    <w:rsid w:val="00210FE1"/>
    <w:rsid w:val="0021205F"/>
    <w:rsid w:val="00215B8D"/>
    <w:rsid w:val="00240ED1"/>
    <w:rsid w:val="00245FC8"/>
    <w:rsid w:val="00275232"/>
    <w:rsid w:val="0027526D"/>
    <w:rsid w:val="00295997"/>
    <w:rsid w:val="002A15E5"/>
    <w:rsid w:val="002B47B4"/>
    <w:rsid w:val="002D7018"/>
    <w:rsid w:val="002E6B86"/>
    <w:rsid w:val="00306BD9"/>
    <w:rsid w:val="00323520"/>
    <w:rsid w:val="00366BD3"/>
    <w:rsid w:val="003E1C8B"/>
    <w:rsid w:val="004022AE"/>
    <w:rsid w:val="00405F08"/>
    <w:rsid w:val="004760E5"/>
    <w:rsid w:val="00493E14"/>
    <w:rsid w:val="004960B2"/>
    <w:rsid w:val="004A0821"/>
    <w:rsid w:val="004C08D5"/>
    <w:rsid w:val="004C5E29"/>
    <w:rsid w:val="00525B0A"/>
    <w:rsid w:val="00564C4F"/>
    <w:rsid w:val="005A4B12"/>
    <w:rsid w:val="005D5F6D"/>
    <w:rsid w:val="006061A6"/>
    <w:rsid w:val="00616A4B"/>
    <w:rsid w:val="006A5400"/>
    <w:rsid w:val="006C07EB"/>
    <w:rsid w:val="007840B0"/>
    <w:rsid w:val="007C4746"/>
    <w:rsid w:val="00817E83"/>
    <w:rsid w:val="00836866"/>
    <w:rsid w:val="0083736F"/>
    <w:rsid w:val="00873A95"/>
    <w:rsid w:val="008A2922"/>
    <w:rsid w:val="008B7F16"/>
    <w:rsid w:val="008C092B"/>
    <w:rsid w:val="008C73A1"/>
    <w:rsid w:val="008D6E35"/>
    <w:rsid w:val="00920261"/>
    <w:rsid w:val="009875F2"/>
    <w:rsid w:val="0099286C"/>
    <w:rsid w:val="009A53B0"/>
    <w:rsid w:val="009E2C9B"/>
    <w:rsid w:val="00A128EE"/>
    <w:rsid w:val="00A3563F"/>
    <w:rsid w:val="00A52F79"/>
    <w:rsid w:val="00A73F30"/>
    <w:rsid w:val="00A761BC"/>
    <w:rsid w:val="00AE6F2B"/>
    <w:rsid w:val="00AF3F4E"/>
    <w:rsid w:val="00B554C1"/>
    <w:rsid w:val="00B805F4"/>
    <w:rsid w:val="00BA440B"/>
    <w:rsid w:val="00C03321"/>
    <w:rsid w:val="00C06CDF"/>
    <w:rsid w:val="00C327FE"/>
    <w:rsid w:val="00C71EA2"/>
    <w:rsid w:val="00C72575"/>
    <w:rsid w:val="00D0483D"/>
    <w:rsid w:val="00D06A26"/>
    <w:rsid w:val="00D25D90"/>
    <w:rsid w:val="00D5420D"/>
    <w:rsid w:val="00DA5EB6"/>
    <w:rsid w:val="00DE00A7"/>
    <w:rsid w:val="00E02793"/>
    <w:rsid w:val="00E1736D"/>
    <w:rsid w:val="00E32C99"/>
    <w:rsid w:val="00E37125"/>
    <w:rsid w:val="00E5005D"/>
    <w:rsid w:val="00E727F1"/>
    <w:rsid w:val="00E86999"/>
    <w:rsid w:val="00EA5859"/>
    <w:rsid w:val="00F359DB"/>
    <w:rsid w:val="00F87B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42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3A1"/>
  </w:style>
  <w:style w:type="paragraph" w:styleId="Heading1">
    <w:name w:val="heading 1"/>
    <w:basedOn w:val="Normal"/>
    <w:link w:val="Heading1Char"/>
    <w:uiPriority w:val="9"/>
    <w:qFormat/>
    <w:rsid w:val="008A292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855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999"/>
    <w:rPr>
      <w:color w:val="0563C1" w:themeColor="hyperlink"/>
      <w:u w:val="single"/>
    </w:rPr>
  </w:style>
  <w:style w:type="character" w:styleId="FollowedHyperlink">
    <w:name w:val="FollowedHyperlink"/>
    <w:basedOn w:val="DefaultParagraphFont"/>
    <w:uiPriority w:val="99"/>
    <w:semiHidden/>
    <w:unhideWhenUsed/>
    <w:rsid w:val="00E86999"/>
    <w:rPr>
      <w:color w:val="954F72" w:themeColor="followedHyperlink"/>
      <w:u w:val="single"/>
    </w:rPr>
  </w:style>
  <w:style w:type="paragraph" w:styleId="ListParagraph">
    <w:name w:val="List Paragraph"/>
    <w:basedOn w:val="Normal"/>
    <w:uiPriority w:val="34"/>
    <w:qFormat/>
    <w:rsid w:val="00E86999"/>
    <w:pPr>
      <w:ind w:left="720"/>
      <w:contextualSpacing/>
    </w:pPr>
  </w:style>
  <w:style w:type="character" w:customStyle="1" w:styleId="Heading1Char">
    <w:name w:val="Heading 1 Char"/>
    <w:basedOn w:val="DefaultParagraphFont"/>
    <w:link w:val="Heading1"/>
    <w:uiPriority w:val="9"/>
    <w:rsid w:val="008A2922"/>
    <w:rPr>
      <w:rFonts w:ascii="Times New Roman" w:hAnsi="Times New Roman" w:cs="Times New Roman"/>
      <w:b/>
      <w:bCs/>
      <w:kern w:val="36"/>
      <w:sz w:val="48"/>
      <w:szCs w:val="48"/>
    </w:rPr>
  </w:style>
  <w:style w:type="character" w:customStyle="1" w:styleId="apple-converted-space">
    <w:name w:val="apple-converted-space"/>
    <w:basedOn w:val="DefaultParagraphFont"/>
    <w:rsid w:val="008A2922"/>
  </w:style>
  <w:style w:type="character" w:customStyle="1" w:styleId="articlealttitle">
    <w:name w:val="articlealttitle"/>
    <w:basedOn w:val="DefaultParagraphFont"/>
    <w:rsid w:val="008A2922"/>
  </w:style>
  <w:style w:type="character" w:styleId="Emphasis">
    <w:name w:val="Emphasis"/>
    <w:basedOn w:val="DefaultParagraphFont"/>
    <w:uiPriority w:val="20"/>
    <w:qFormat/>
    <w:rsid w:val="008A2922"/>
    <w:rPr>
      <w:i/>
      <w:iCs/>
    </w:rPr>
  </w:style>
  <w:style w:type="character" w:customStyle="1" w:styleId="Heading2Char">
    <w:name w:val="Heading 2 Char"/>
    <w:basedOn w:val="DefaultParagraphFont"/>
    <w:link w:val="Heading2"/>
    <w:uiPriority w:val="9"/>
    <w:semiHidden/>
    <w:rsid w:val="0008556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022AE"/>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8D6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name">
    <w:name w:val="authorname"/>
    <w:basedOn w:val="DefaultParagraphFont"/>
    <w:rsid w:val="000E1AA0"/>
  </w:style>
  <w:style w:type="character" w:customStyle="1" w:styleId="u-sronly">
    <w:name w:val="u-sronly"/>
    <w:basedOn w:val="DefaultParagraphFont"/>
    <w:rsid w:val="000E1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9061">
      <w:bodyDiv w:val="1"/>
      <w:marLeft w:val="0"/>
      <w:marRight w:val="0"/>
      <w:marTop w:val="0"/>
      <w:marBottom w:val="0"/>
      <w:divBdr>
        <w:top w:val="none" w:sz="0" w:space="0" w:color="auto"/>
        <w:left w:val="none" w:sz="0" w:space="0" w:color="auto"/>
        <w:bottom w:val="none" w:sz="0" w:space="0" w:color="auto"/>
        <w:right w:val="none" w:sz="0" w:space="0" w:color="auto"/>
      </w:divBdr>
    </w:div>
    <w:div w:id="240452147">
      <w:bodyDiv w:val="1"/>
      <w:marLeft w:val="0"/>
      <w:marRight w:val="0"/>
      <w:marTop w:val="0"/>
      <w:marBottom w:val="0"/>
      <w:divBdr>
        <w:top w:val="none" w:sz="0" w:space="0" w:color="auto"/>
        <w:left w:val="none" w:sz="0" w:space="0" w:color="auto"/>
        <w:bottom w:val="none" w:sz="0" w:space="0" w:color="auto"/>
        <w:right w:val="none" w:sz="0" w:space="0" w:color="auto"/>
      </w:divBdr>
    </w:div>
    <w:div w:id="343744976">
      <w:bodyDiv w:val="1"/>
      <w:marLeft w:val="0"/>
      <w:marRight w:val="0"/>
      <w:marTop w:val="0"/>
      <w:marBottom w:val="0"/>
      <w:divBdr>
        <w:top w:val="none" w:sz="0" w:space="0" w:color="auto"/>
        <w:left w:val="none" w:sz="0" w:space="0" w:color="auto"/>
        <w:bottom w:val="none" w:sz="0" w:space="0" w:color="auto"/>
        <w:right w:val="none" w:sz="0" w:space="0" w:color="auto"/>
      </w:divBdr>
    </w:div>
    <w:div w:id="362558340">
      <w:bodyDiv w:val="1"/>
      <w:marLeft w:val="0"/>
      <w:marRight w:val="0"/>
      <w:marTop w:val="0"/>
      <w:marBottom w:val="0"/>
      <w:divBdr>
        <w:top w:val="none" w:sz="0" w:space="0" w:color="auto"/>
        <w:left w:val="none" w:sz="0" w:space="0" w:color="auto"/>
        <w:bottom w:val="none" w:sz="0" w:space="0" w:color="auto"/>
        <w:right w:val="none" w:sz="0" w:space="0" w:color="auto"/>
      </w:divBdr>
    </w:div>
    <w:div w:id="364601594">
      <w:bodyDiv w:val="1"/>
      <w:marLeft w:val="0"/>
      <w:marRight w:val="0"/>
      <w:marTop w:val="0"/>
      <w:marBottom w:val="0"/>
      <w:divBdr>
        <w:top w:val="none" w:sz="0" w:space="0" w:color="auto"/>
        <w:left w:val="none" w:sz="0" w:space="0" w:color="auto"/>
        <w:bottom w:val="none" w:sz="0" w:space="0" w:color="auto"/>
        <w:right w:val="none" w:sz="0" w:space="0" w:color="auto"/>
      </w:divBdr>
    </w:div>
    <w:div w:id="409035776">
      <w:bodyDiv w:val="1"/>
      <w:marLeft w:val="0"/>
      <w:marRight w:val="0"/>
      <w:marTop w:val="0"/>
      <w:marBottom w:val="0"/>
      <w:divBdr>
        <w:top w:val="none" w:sz="0" w:space="0" w:color="auto"/>
        <w:left w:val="none" w:sz="0" w:space="0" w:color="auto"/>
        <w:bottom w:val="none" w:sz="0" w:space="0" w:color="auto"/>
        <w:right w:val="none" w:sz="0" w:space="0" w:color="auto"/>
      </w:divBdr>
    </w:div>
    <w:div w:id="708722646">
      <w:bodyDiv w:val="1"/>
      <w:marLeft w:val="0"/>
      <w:marRight w:val="0"/>
      <w:marTop w:val="0"/>
      <w:marBottom w:val="0"/>
      <w:divBdr>
        <w:top w:val="none" w:sz="0" w:space="0" w:color="auto"/>
        <w:left w:val="none" w:sz="0" w:space="0" w:color="auto"/>
        <w:bottom w:val="none" w:sz="0" w:space="0" w:color="auto"/>
        <w:right w:val="none" w:sz="0" w:space="0" w:color="auto"/>
      </w:divBdr>
    </w:div>
    <w:div w:id="851454588">
      <w:bodyDiv w:val="1"/>
      <w:marLeft w:val="0"/>
      <w:marRight w:val="0"/>
      <w:marTop w:val="0"/>
      <w:marBottom w:val="0"/>
      <w:divBdr>
        <w:top w:val="none" w:sz="0" w:space="0" w:color="auto"/>
        <w:left w:val="none" w:sz="0" w:space="0" w:color="auto"/>
        <w:bottom w:val="none" w:sz="0" w:space="0" w:color="auto"/>
        <w:right w:val="none" w:sz="0" w:space="0" w:color="auto"/>
      </w:divBdr>
    </w:div>
    <w:div w:id="977108904">
      <w:bodyDiv w:val="1"/>
      <w:marLeft w:val="0"/>
      <w:marRight w:val="0"/>
      <w:marTop w:val="0"/>
      <w:marBottom w:val="0"/>
      <w:divBdr>
        <w:top w:val="none" w:sz="0" w:space="0" w:color="auto"/>
        <w:left w:val="none" w:sz="0" w:space="0" w:color="auto"/>
        <w:bottom w:val="none" w:sz="0" w:space="0" w:color="auto"/>
        <w:right w:val="none" w:sz="0" w:space="0" w:color="auto"/>
      </w:divBdr>
    </w:div>
    <w:div w:id="1018658478">
      <w:bodyDiv w:val="1"/>
      <w:marLeft w:val="0"/>
      <w:marRight w:val="0"/>
      <w:marTop w:val="0"/>
      <w:marBottom w:val="0"/>
      <w:divBdr>
        <w:top w:val="none" w:sz="0" w:space="0" w:color="auto"/>
        <w:left w:val="none" w:sz="0" w:space="0" w:color="auto"/>
        <w:bottom w:val="none" w:sz="0" w:space="0" w:color="auto"/>
        <w:right w:val="none" w:sz="0" w:space="0" w:color="auto"/>
      </w:divBdr>
    </w:div>
    <w:div w:id="1165629427">
      <w:bodyDiv w:val="1"/>
      <w:marLeft w:val="0"/>
      <w:marRight w:val="0"/>
      <w:marTop w:val="0"/>
      <w:marBottom w:val="0"/>
      <w:divBdr>
        <w:top w:val="none" w:sz="0" w:space="0" w:color="auto"/>
        <w:left w:val="none" w:sz="0" w:space="0" w:color="auto"/>
        <w:bottom w:val="none" w:sz="0" w:space="0" w:color="auto"/>
        <w:right w:val="none" w:sz="0" w:space="0" w:color="auto"/>
      </w:divBdr>
      <w:divsChild>
        <w:div w:id="209657046">
          <w:marLeft w:val="0"/>
          <w:marRight w:val="0"/>
          <w:marTop w:val="0"/>
          <w:marBottom w:val="0"/>
          <w:divBdr>
            <w:top w:val="none" w:sz="0" w:space="0" w:color="auto"/>
            <w:left w:val="none" w:sz="0" w:space="0" w:color="auto"/>
            <w:bottom w:val="none" w:sz="0" w:space="0" w:color="auto"/>
            <w:right w:val="none" w:sz="0" w:space="0" w:color="auto"/>
          </w:divBdr>
          <w:divsChild>
            <w:div w:id="871040324">
              <w:marLeft w:val="0"/>
              <w:marRight w:val="0"/>
              <w:marTop w:val="0"/>
              <w:marBottom w:val="0"/>
              <w:divBdr>
                <w:top w:val="none" w:sz="0" w:space="0" w:color="auto"/>
                <w:left w:val="none" w:sz="0" w:space="0" w:color="auto"/>
                <w:bottom w:val="none" w:sz="0" w:space="0" w:color="auto"/>
                <w:right w:val="none" w:sz="0" w:space="0" w:color="auto"/>
              </w:divBdr>
              <w:divsChild>
                <w:div w:id="13313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32326">
      <w:bodyDiv w:val="1"/>
      <w:marLeft w:val="0"/>
      <w:marRight w:val="0"/>
      <w:marTop w:val="0"/>
      <w:marBottom w:val="0"/>
      <w:divBdr>
        <w:top w:val="none" w:sz="0" w:space="0" w:color="auto"/>
        <w:left w:val="none" w:sz="0" w:space="0" w:color="auto"/>
        <w:bottom w:val="none" w:sz="0" w:space="0" w:color="auto"/>
        <w:right w:val="none" w:sz="0" w:space="0" w:color="auto"/>
      </w:divBdr>
    </w:div>
    <w:div w:id="1407653183">
      <w:bodyDiv w:val="1"/>
      <w:marLeft w:val="0"/>
      <w:marRight w:val="0"/>
      <w:marTop w:val="0"/>
      <w:marBottom w:val="0"/>
      <w:divBdr>
        <w:top w:val="none" w:sz="0" w:space="0" w:color="auto"/>
        <w:left w:val="none" w:sz="0" w:space="0" w:color="auto"/>
        <w:bottom w:val="none" w:sz="0" w:space="0" w:color="auto"/>
        <w:right w:val="none" w:sz="0" w:space="0" w:color="auto"/>
      </w:divBdr>
    </w:div>
    <w:div w:id="1538811293">
      <w:bodyDiv w:val="1"/>
      <w:marLeft w:val="0"/>
      <w:marRight w:val="0"/>
      <w:marTop w:val="0"/>
      <w:marBottom w:val="0"/>
      <w:divBdr>
        <w:top w:val="none" w:sz="0" w:space="0" w:color="auto"/>
        <w:left w:val="none" w:sz="0" w:space="0" w:color="auto"/>
        <w:bottom w:val="none" w:sz="0" w:space="0" w:color="auto"/>
        <w:right w:val="none" w:sz="0" w:space="0" w:color="auto"/>
      </w:divBdr>
    </w:div>
    <w:div w:id="1624077707">
      <w:bodyDiv w:val="1"/>
      <w:marLeft w:val="0"/>
      <w:marRight w:val="0"/>
      <w:marTop w:val="0"/>
      <w:marBottom w:val="0"/>
      <w:divBdr>
        <w:top w:val="none" w:sz="0" w:space="0" w:color="auto"/>
        <w:left w:val="none" w:sz="0" w:space="0" w:color="auto"/>
        <w:bottom w:val="none" w:sz="0" w:space="0" w:color="auto"/>
        <w:right w:val="none" w:sz="0" w:space="0" w:color="auto"/>
      </w:divBdr>
    </w:div>
    <w:div w:id="1759473322">
      <w:bodyDiv w:val="1"/>
      <w:marLeft w:val="0"/>
      <w:marRight w:val="0"/>
      <w:marTop w:val="0"/>
      <w:marBottom w:val="0"/>
      <w:divBdr>
        <w:top w:val="none" w:sz="0" w:space="0" w:color="auto"/>
        <w:left w:val="none" w:sz="0" w:space="0" w:color="auto"/>
        <w:bottom w:val="none" w:sz="0" w:space="0" w:color="auto"/>
        <w:right w:val="none" w:sz="0" w:space="0" w:color="auto"/>
      </w:divBdr>
    </w:div>
    <w:div w:id="2147158531">
      <w:bodyDiv w:val="1"/>
      <w:marLeft w:val="0"/>
      <w:marRight w:val="0"/>
      <w:marTop w:val="0"/>
      <w:marBottom w:val="0"/>
      <w:divBdr>
        <w:top w:val="none" w:sz="0" w:space="0" w:color="auto"/>
        <w:left w:val="none" w:sz="0" w:space="0" w:color="auto"/>
        <w:bottom w:val="none" w:sz="0" w:space="0" w:color="auto"/>
        <w:right w:val="none" w:sz="0" w:space="0" w:color="auto"/>
      </w:divBdr>
      <w:divsChild>
        <w:div w:id="1443378336">
          <w:marLeft w:val="0"/>
          <w:marRight w:val="0"/>
          <w:marTop w:val="0"/>
          <w:marBottom w:val="0"/>
          <w:divBdr>
            <w:top w:val="none" w:sz="0" w:space="0" w:color="auto"/>
            <w:left w:val="none" w:sz="0" w:space="0" w:color="auto"/>
            <w:bottom w:val="none" w:sz="0" w:space="0" w:color="auto"/>
            <w:right w:val="none" w:sz="0" w:space="0" w:color="auto"/>
          </w:divBdr>
          <w:divsChild>
            <w:div w:id="1250654362">
              <w:marLeft w:val="0"/>
              <w:marRight w:val="0"/>
              <w:marTop w:val="0"/>
              <w:marBottom w:val="0"/>
              <w:divBdr>
                <w:top w:val="none" w:sz="0" w:space="0" w:color="auto"/>
                <w:left w:val="none" w:sz="0" w:space="0" w:color="auto"/>
                <w:bottom w:val="none" w:sz="0" w:space="0" w:color="auto"/>
                <w:right w:val="none" w:sz="0" w:space="0" w:color="auto"/>
              </w:divBdr>
              <w:divsChild>
                <w:div w:id="3736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javascript:void(0);" TargetMode="External"/><Relationship Id="rId21" Type="http://schemas.openxmlformats.org/officeDocument/2006/relationships/hyperlink" Target="javascript:void(0);" TargetMode="External"/><Relationship Id="rId22" Type="http://schemas.openxmlformats.org/officeDocument/2006/relationships/hyperlink" Target="javascript:void(0);" TargetMode="External"/><Relationship Id="rId23" Type="http://schemas.openxmlformats.org/officeDocument/2006/relationships/hyperlink" Target="javascript:void(0);" TargetMode="External"/><Relationship Id="rId24" Type="http://schemas.openxmlformats.org/officeDocument/2006/relationships/hyperlink" Target="javascript:void(0);" TargetMode="External"/><Relationship Id="rId25" Type="http://schemas.openxmlformats.org/officeDocument/2006/relationships/hyperlink" Target="javascript:void(0);" TargetMode="External"/><Relationship Id="rId26" Type="http://schemas.openxmlformats.org/officeDocument/2006/relationships/hyperlink" Target="http://www.jto.org/article/S1556-0864(15)32739-8/fulltext#tbl1" TargetMode="External"/><Relationship Id="rId27" Type="http://schemas.openxmlformats.org/officeDocument/2006/relationships/hyperlink" Target="http://www.pnas.org/content/90/18/8392.full.pdf" TargetMode="External"/><Relationship Id="rId28" Type="http://schemas.openxmlformats.org/officeDocument/2006/relationships/hyperlink" Target="https://www.ncbi.nlm.nih.gov/pmc/articles/PMC2911531/" TargetMode="External"/><Relationship Id="rId29" Type="http://schemas.openxmlformats.org/officeDocument/2006/relationships/hyperlink" Target="https://www.ncbi.nlm.nih.gov/pmc/articles/PMC3456489/"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https://www-ncbi-nlm-nih-gov.proxy.library.vcu.edu/pubmed/?term=Jiang%20J%5BAuthor%5D&amp;cauthor=true&amp;cauthor_uid=16204070" TargetMode="External"/><Relationship Id="rId31" Type="http://schemas.openxmlformats.org/officeDocument/2006/relationships/hyperlink" Target="https://www-ncbi-nlm-nih-gov.proxy.library.vcu.edu/pubmed/?term=Greulich%20H%5BAuthor%5D&amp;cauthor=true&amp;cauthor_uid=16204070" TargetMode="External"/><Relationship Id="rId32" Type="http://schemas.openxmlformats.org/officeDocument/2006/relationships/hyperlink" Target="https://www-ncbi-nlm-nih-gov.proxy.library.vcu.edu/pubmed/?term=J%C3%A4nne%20PA%5BAuthor%5D&amp;cauthor=true&amp;cauthor_uid=16204070" TargetMode="External"/><Relationship Id="rId9" Type="http://schemas.openxmlformats.org/officeDocument/2006/relationships/hyperlink" Target="https://www.ncbi.nlm.nih.gov/pubmed/?term=Schild%20SE%5BAuthor%5D&amp;cauthor=true&amp;cauthor_uid=18452692" TargetMode="External"/><Relationship Id="rId6" Type="http://schemas.openxmlformats.org/officeDocument/2006/relationships/hyperlink" Target="https://www.ncbi.nlm.nih.gov/pubmed/?term=Molina%20JR%5BAuthor%5D&amp;cauthor=true&amp;cauthor_uid=18452692" TargetMode="External"/><Relationship Id="rId7" Type="http://schemas.openxmlformats.org/officeDocument/2006/relationships/hyperlink" Target="https://www.ncbi.nlm.nih.gov/pubmed/?term=Yang%20P%5BAuthor%5D&amp;cauthor=true&amp;cauthor_uid=18452692" TargetMode="External"/><Relationship Id="rId8" Type="http://schemas.openxmlformats.org/officeDocument/2006/relationships/hyperlink" Target="https://www.ncbi.nlm.nih.gov/pubmed/?term=Cassivi%20SD%5BAuthor%5D&amp;cauthor=true&amp;cauthor_uid=18452692" TargetMode="External"/><Relationship Id="rId33" Type="http://schemas.openxmlformats.org/officeDocument/2006/relationships/hyperlink" Target="https://www-ncbi-nlm-nih-gov.proxy.library.vcu.edu/pubmed/?term=Sellers%20WR%5BAuthor%5D&amp;cauthor=true&amp;cauthor_uid=16204070" TargetMode="External"/><Relationship Id="rId34" Type="http://schemas.openxmlformats.org/officeDocument/2006/relationships/hyperlink" Target="https://www-ncbi-nlm-nih-gov.proxy.library.vcu.edu/pubmed/?term=Meyerson%20M%5BAuthor%5D&amp;cauthor=true&amp;cauthor_uid=16204070" TargetMode="External"/><Relationship Id="rId35" Type="http://schemas.openxmlformats.org/officeDocument/2006/relationships/hyperlink" Target="https://www-ncbi-nlm-nih-gov.proxy.library.vcu.edu/pubmed/?term=Griffin%20JD%5BAuthor%5D&amp;cauthor=true&amp;cauthor_uid=16204070" TargetMode="External"/><Relationship Id="rId36" Type="http://schemas.openxmlformats.org/officeDocument/2006/relationships/hyperlink" Target="https://www-ncbi-nlm-nih-gov.proxy.library.vcu.edu/pubmed/16204070?dopt=Abstract&amp;holding=npg" TargetMode="External"/><Relationship Id="rId10" Type="http://schemas.openxmlformats.org/officeDocument/2006/relationships/hyperlink" Target="https://www.ncbi.nlm.nih.gov/pubmed/?term=Adjei%20AA%5BAuthor%5D&amp;cauthor=true&amp;cauthor_uid=18452692" TargetMode="External"/><Relationship Id="rId11" Type="http://schemas.openxmlformats.org/officeDocument/2006/relationships/hyperlink" Target="https://www.ncbi.nlm.nih.gov/pmc/articles/PMC2849651/#R46" TargetMode="External"/><Relationship Id="rId12" Type="http://schemas.openxmlformats.org/officeDocument/2006/relationships/hyperlink" Target="https://www.ncbi.nlm.nih.gov/pmc/articles/PMC3799959/" TargetMode="External"/><Relationship Id="rId13" Type="http://schemas.openxmlformats.org/officeDocument/2006/relationships/hyperlink" Target="https://www.nature.com/nrc/journal/v7/n3/full/nrc2088.html#B18" TargetMode="External"/><Relationship Id="rId14" Type="http://schemas.openxmlformats.org/officeDocument/2006/relationships/hyperlink" Target="https://www.ncbi.nlm.nih.gov/pmc/articles/PMC3714231/" TargetMode="External"/><Relationship Id="rId15" Type="http://schemas.openxmlformats.org/officeDocument/2006/relationships/hyperlink" Target="https://www.ncbi.nlm.nih.gov/pmc/articles/PMC3954775/" TargetMode="External"/><Relationship Id="rId16" Type="http://schemas.openxmlformats.org/officeDocument/2006/relationships/hyperlink" Target="https://www.ncbi.nlm.nih.gov/pmc/articles/PMC549606/" TargetMode="External"/><Relationship Id="rId17" Type="http://schemas.openxmlformats.org/officeDocument/2006/relationships/hyperlink" Target="javascript:void(0);" TargetMode="External"/><Relationship Id="rId18" Type="http://schemas.openxmlformats.org/officeDocument/2006/relationships/hyperlink" Target="javascript:void(0);" TargetMode="External"/><Relationship Id="rId19" Type="http://schemas.openxmlformats.org/officeDocument/2006/relationships/hyperlink" Target="javascript:void(0);" TargetMode="External"/><Relationship Id="rId37" Type="http://schemas.openxmlformats.org/officeDocument/2006/relationships/hyperlink" Target="https://bmcbioinformatics.biomedcentral.com/articles/10.1186/s12859-015-0522-3"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5</Pages>
  <Words>2212</Words>
  <Characters>12612</Characters>
  <Application>Microsoft Macintosh Word</Application>
  <DocSecurity>0</DocSecurity>
  <Lines>105</Lines>
  <Paragraphs>29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Yarden Y. 2001. European Journal of Cancer. 37(4). Pg 3-8. The EGFR family and i</vt:lpstr>
      <vt:lpstr>Gazdar A.F. 2009. Oncogene. 28(1). Activating and resistance mutations of EGFR i</vt:lpstr>
      <vt:lpstr>Kumar A., Edward TP., Halmos B., Boggon T.J. 2008. 26(10). J. Clin Onco. The Str</vt:lpstr>
      <vt:lpstr/>
      <vt:lpstr>Yasuda H. et al. Sci Transl Med. Dec 18, 2013. 5(216). Structural, biochemical a</vt:lpstr>
      <vt:lpstr>Pao W. et al. PLoS Med. Mar, 2005. 2(3). Acquired Resistance of Lung Adenocarcin</vt:lpstr>
      <vt:lpstr>Mahmood T., Yang P. C. 2012. N Am J Med. 4(9). Western Blot: Technique, Theory, </vt:lpstr>
      <vt:lpstr>Russo A. et al. Oncotarget. Sep 29, 2015. 6(29): 26814-26825. A decade of EGFR i</vt:lpstr>
    </vt:vector>
  </TitlesOfParts>
  <LinksUpToDate>false</LinksUpToDate>
  <CharactersWithSpaces>14795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Rayes</dc:creator>
  <cp:keywords/>
  <dc:description/>
  <cp:lastModifiedBy>Danny Rayes</cp:lastModifiedBy>
  <cp:revision>7</cp:revision>
  <dcterms:created xsi:type="dcterms:W3CDTF">2017-04-29T19:05:00Z</dcterms:created>
  <dcterms:modified xsi:type="dcterms:W3CDTF">2017-04-30T12:57:00Z</dcterms:modified>
</cp:coreProperties>
</file>