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9D832" w14:textId="136DC16A" w:rsidR="00DD57CC" w:rsidRPr="00DD57CC" w:rsidRDefault="00DD57CC" w:rsidP="0047595F">
      <w:pPr>
        <w:spacing w:line="480" w:lineRule="auto"/>
        <w:rPr>
          <w:color w:val="000000" w:themeColor="text1"/>
        </w:rPr>
      </w:pPr>
      <w:r w:rsidRPr="00DD57CC">
        <w:rPr>
          <w:color w:val="000000" w:themeColor="text1"/>
        </w:rPr>
        <w:t xml:space="preserve">ALEX LEATH </w:t>
      </w:r>
      <w:r>
        <w:rPr>
          <w:color w:val="000000" w:themeColor="text1"/>
        </w:rPr>
        <w:tab/>
        <w:t>BNFO 300 RESEARCH PROPOSAL ROUGH DRAFT 1</w:t>
      </w:r>
    </w:p>
    <w:p w14:paraId="3D601525" w14:textId="2A1805E8" w:rsidR="0047595F" w:rsidRDefault="0047595F" w:rsidP="0047595F">
      <w:pPr>
        <w:spacing w:line="480" w:lineRule="auto"/>
        <w:rPr>
          <w:u w:val="single"/>
        </w:rPr>
      </w:pPr>
      <w:r w:rsidRPr="00744D07">
        <w:rPr>
          <w:color w:val="FF0000"/>
          <w:u w:val="single"/>
        </w:rPr>
        <w:t>INTRODUCTION</w:t>
      </w:r>
    </w:p>
    <w:p w14:paraId="3FE7741E" w14:textId="1D824939" w:rsidR="00744D07" w:rsidRDefault="00744D07" w:rsidP="0047595F">
      <w:pPr>
        <w:spacing w:line="480" w:lineRule="auto"/>
        <w:rPr>
          <w:b/>
          <w:color w:val="FF0000"/>
        </w:rPr>
      </w:pPr>
      <w:r w:rsidRPr="00744D07">
        <w:rPr>
          <w:b/>
          <w:color w:val="FF0000"/>
        </w:rPr>
        <w:t>CUT OUT MAYBE HALF OF INTRODUCTON</w:t>
      </w:r>
      <w:r>
        <w:rPr>
          <w:b/>
          <w:color w:val="FF0000"/>
        </w:rPr>
        <w:t xml:space="preserve"> </w:t>
      </w:r>
    </w:p>
    <w:p w14:paraId="2A3FC642" w14:textId="4956754B" w:rsidR="00744D07" w:rsidRDefault="00744D07" w:rsidP="0047595F">
      <w:pPr>
        <w:spacing w:line="480" w:lineRule="auto"/>
        <w:rPr>
          <w:b/>
          <w:color w:val="FF0000"/>
        </w:rPr>
      </w:pPr>
      <w:r>
        <w:rPr>
          <w:b/>
          <w:color w:val="FF0000"/>
        </w:rPr>
        <w:t>PUT MORE BACKGROUND EXPLANATION IN THE INTRO</w:t>
      </w:r>
    </w:p>
    <w:p w14:paraId="6BA58E71" w14:textId="694184B2" w:rsidR="00744D07" w:rsidRDefault="00744D07" w:rsidP="0047595F">
      <w:pPr>
        <w:spacing w:line="480" w:lineRule="auto"/>
        <w:rPr>
          <w:b/>
          <w:color w:val="FF0000"/>
        </w:rPr>
      </w:pPr>
      <w:r>
        <w:rPr>
          <w:b/>
          <w:color w:val="FF0000"/>
        </w:rPr>
        <w:t>SO READER WILL ARRIVE AT THE EXPERIMENT WITH A BETTER IDEA</w:t>
      </w:r>
    </w:p>
    <w:p w14:paraId="30CDFBCC" w14:textId="118C7FDD" w:rsidR="00744D07" w:rsidRPr="00744D07" w:rsidRDefault="00744D07" w:rsidP="0047595F">
      <w:pPr>
        <w:spacing w:line="480" w:lineRule="auto"/>
        <w:rPr>
          <w:b/>
          <w:color w:val="FF0000"/>
        </w:rPr>
      </w:pPr>
      <w:r>
        <w:rPr>
          <w:b/>
          <w:color w:val="FF0000"/>
        </w:rPr>
        <w:t>OF THE TERMINOLOGY</w:t>
      </w:r>
    </w:p>
    <w:p w14:paraId="5F9A57E6" w14:textId="5D8C0AC3" w:rsidR="006B0275" w:rsidRDefault="00AD7947" w:rsidP="00EB2B50">
      <w:pPr>
        <w:spacing w:line="480" w:lineRule="auto"/>
        <w:ind w:firstLine="720"/>
      </w:pPr>
      <w:r>
        <w:t xml:space="preserve">Amid </w:t>
      </w:r>
      <w:r w:rsidR="00204639">
        <w:t xml:space="preserve">the countless </w:t>
      </w:r>
      <w:r>
        <w:t>“</w:t>
      </w:r>
      <w:r w:rsidR="00204639">
        <w:t>Red Revolutions</w:t>
      </w:r>
      <w:r>
        <w:t>”</w:t>
      </w:r>
      <w:r w:rsidR="009E3085">
        <w:t xml:space="preserve"> all over the world</w:t>
      </w:r>
      <w:r w:rsidR="00204639">
        <w:t xml:space="preserve"> </w:t>
      </w:r>
      <w:r>
        <w:t xml:space="preserve">it was declared in 1970 that there had as well been a </w:t>
      </w:r>
      <w:r w:rsidR="00204639">
        <w:t>“Green Revolution”</w:t>
      </w:r>
      <w:r>
        <w:t xml:space="preserve"> </w:t>
      </w:r>
      <w:r w:rsidRPr="00AD7947">
        <w:rPr>
          <w:highlight w:val="cyan"/>
        </w:rPr>
        <w:t>1</w:t>
      </w:r>
      <w:r w:rsidR="00204639">
        <w:t>.</w:t>
      </w:r>
      <w:r w:rsidR="00606C81">
        <w:t xml:space="preserve"> </w:t>
      </w:r>
      <w:r w:rsidR="000775AC">
        <w:t xml:space="preserve">The climax of that period coincided </w:t>
      </w:r>
      <w:r w:rsidR="004B14FB">
        <w:t>with the peace movements and the</w:t>
      </w:r>
      <w:r w:rsidR="000775AC">
        <w:t xml:space="preserve"> protests against the Vi</w:t>
      </w:r>
      <w:r w:rsidR="004B14FB">
        <w:t>etnam War. I</w:t>
      </w:r>
      <w:r w:rsidR="00260307">
        <w:t>n many ways</w:t>
      </w:r>
      <w:r w:rsidR="00EB2B50">
        <w:t xml:space="preserve">, </w:t>
      </w:r>
      <w:r w:rsidR="00EF3406">
        <w:t xml:space="preserve">while </w:t>
      </w:r>
      <w:r w:rsidR="00EB2B50">
        <w:t>the</w:t>
      </w:r>
      <w:r w:rsidR="001474DD">
        <w:t xml:space="preserve"> </w:t>
      </w:r>
      <w:r w:rsidR="000775AC">
        <w:t>Age of Aquarius</w:t>
      </w:r>
      <w:r>
        <w:t xml:space="preserve"> and its neologisms </w:t>
      </w:r>
      <w:r w:rsidR="000775AC">
        <w:t>spawned</w:t>
      </w:r>
      <w:r w:rsidR="00EF3406">
        <w:t xml:space="preserve"> what</w:t>
      </w:r>
      <w:r>
        <w:t xml:space="preserve"> </w:t>
      </w:r>
      <w:r w:rsidR="00EF3406">
        <w:t xml:space="preserve">clearly </w:t>
      </w:r>
      <w:r w:rsidR="009E3085">
        <w:t>amounted to a</w:t>
      </w:r>
      <w:r w:rsidR="00DE699E">
        <w:t xml:space="preserve"> </w:t>
      </w:r>
      <w:r w:rsidR="00EF3406">
        <w:t>federally funded pursuit of</w:t>
      </w:r>
      <w:r>
        <w:t xml:space="preserve"> pseudoscience</w:t>
      </w:r>
      <w:r w:rsidR="001474DD">
        <w:t>,</w:t>
      </w:r>
      <w:r w:rsidR="00EF3406">
        <w:t xml:space="preserve"> the actual reproducible science of</w:t>
      </w:r>
      <w:r w:rsidR="00990890">
        <w:t xml:space="preserve"> those years propagated</w:t>
      </w:r>
      <w:r w:rsidR="00EF3406">
        <w:t xml:space="preserve"> a</w:t>
      </w:r>
      <w:r w:rsidR="00F91B7E">
        <w:t xml:space="preserve">n awareness much like today </w:t>
      </w:r>
      <w:r w:rsidR="00990890">
        <w:t>that science</w:t>
      </w:r>
      <w:r w:rsidR="00EF3406">
        <w:t xml:space="preserve"> </w:t>
      </w:r>
      <w:r w:rsidR="00F91B7E">
        <w:t>in the</w:t>
      </w:r>
      <w:r w:rsidR="00990890">
        <w:t xml:space="preserve"> United States </w:t>
      </w:r>
      <w:r w:rsidR="00F91B7E">
        <w:t xml:space="preserve">Congress is viewed as one of countless </w:t>
      </w:r>
      <w:r w:rsidR="00EF3406">
        <w:t>institutions</w:t>
      </w:r>
      <w:r w:rsidR="00F91B7E">
        <w:t xml:space="preserve"> and bureaucracies</w:t>
      </w:r>
      <w:r w:rsidR="00990890">
        <w:t xml:space="preserve"> in competition for</w:t>
      </w:r>
      <w:r w:rsidR="00F91B7E">
        <w:t xml:space="preserve"> time and</w:t>
      </w:r>
      <w:r w:rsidR="00990890">
        <w:t xml:space="preserve"> </w:t>
      </w:r>
      <w:r w:rsidR="00F91B7E">
        <w:t>funding attention</w:t>
      </w:r>
      <w:r w:rsidR="00943982">
        <w:t>.</w:t>
      </w:r>
      <w:r w:rsidR="000F1D2D">
        <w:t xml:space="preserve"> </w:t>
      </w:r>
      <w:r>
        <w:rPr>
          <w:highlight w:val="cyan"/>
        </w:rPr>
        <w:t>2</w:t>
      </w:r>
      <w:r w:rsidR="00204639">
        <w:t>,</w:t>
      </w:r>
      <w:r>
        <w:rPr>
          <w:highlight w:val="cyan"/>
        </w:rPr>
        <w:t>3</w:t>
      </w:r>
    </w:p>
    <w:p w14:paraId="7F982835" w14:textId="6FA34CC5" w:rsidR="00943982" w:rsidRDefault="000F1D2D" w:rsidP="00EB2B50">
      <w:pPr>
        <w:spacing w:line="480" w:lineRule="auto"/>
        <w:ind w:firstLine="720"/>
      </w:pPr>
      <w:r>
        <w:t>The econ</w:t>
      </w:r>
      <w:r w:rsidR="00F6785B">
        <w:t>omies of the world have for over</w:t>
      </w:r>
      <w:r>
        <w:t xml:space="preserve"> 100 years been starkly painted as one of two parallel ideologies:</w:t>
      </w:r>
      <w:r w:rsidR="00EB2B50">
        <w:t xml:space="preserve"> communism</w:t>
      </w:r>
      <w:r>
        <w:t>/command style economies and</w:t>
      </w:r>
      <w:r w:rsidR="00F91B7E">
        <w:t xml:space="preserve"> the familiar</w:t>
      </w:r>
      <w:r>
        <w:t xml:space="preserve"> hybrid</w:t>
      </w:r>
      <w:r w:rsidR="00990890">
        <w:t xml:space="preserve"> </w:t>
      </w:r>
      <w:r>
        <w:t>socialism/capitalism system</w:t>
      </w:r>
      <w:r w:rsidR="00F91B7E">
        <w:t xml:space="preserve"> which</w:t>
      </w:r>
      <w:r w:rsidR="00FB5B86">
        <w:t xml:space="preserve"> exists in </w:t>
      </w:r>
      <w:r w:rsidR="00F91B7E">
        <w:t>the United States today</w:t>
      </w:r>
      <w:r w:rsidR="00DF5A3E">
        <w:t xml:space="preserve">. It is the ideas underlying these economic </w:t>
      </w:r>
      <w:r w:rsidR="00FB5B86">
        <w:t>structures that have</w:t>
      </w:r>
      <w:r w:rsidR="00990890">
        <w:t xml:space="preserve"> define</w:t>
      </w:r>
      <w:r>
        <w:t>d and reinforced the divisions of</w:t>
      </w:r>
      <w:r w:rsidR="00EB2B50">
        <w:t xml:space="preserve"> </w:t>
      </w:r>
      <w:r w:rsidR="00F91B7E">
        <w:t>a large share of the</w:t>
      </w:r>
      <w:r w:rsidR="004B14FB">
        <w:t xml:space="preserve"> political</w:t>
      </w:r>
      <w:r>
        <w:t xml:space="preserve"> and military</w:t>
      </w:r>
      <w:r w:rsidR="004B14FB">
        <w:t xml:space="preserve"> conflict</w:t>
      </w:r>
      <w:r>
        <w:t>s</w:t>
      </w:r>
      <w:r w:rsidR="00F91B7E">
        <w:t xml:space="preserve"> that have</w:t>
      </w:r>
      <w:r>
        <w:t xml:space="preserve"> </w:t>
      </w:r>
      <w:r w:rsidR="00F91B7E">
        <w:t>occurred</w:t>
      </w:r>
      <w:r w:rsidR="004B14FB">
        <w:t xml:space="preserve"> </w:t>
      </w:r>
      <w:r w:rsidR="00EB2B50">
        <w:t>in the post war era</w:t>
      </w:r>
      <w:r w:rsidR="00DF5A3E">
        <w:t>;</w:t>
      </w:r>
      <w:r w:rsidR="00FB5B86">
        <w:t xml:space="preserve"> although adva</w:t>
      </w:r>
      <w:r w:rsidR="008F1AEB">
        <w:t>ncements in scientific discoveries</w:t>
      </w:r>
      <w:r w:rsidR="00FB5B86">
        <w:t xml:space="preserve"> in that period are unrivaled in the entire history </w:t>
      </w:r>
      <w:r w:rsidR="00DF5A3E">
        <w:t>o</w:t>
      </w:r>
      <w:r w:rsidR="004E4BF5">
        <w:t>f hum</w:t>
      </w:r>
      <w:r>
        <w:t>an existence</w:t>
      </w:r>
      <w:r w:rsidR="00F91B7E">
        <w:t xml:space="preserve"> </w:t>
      </w:r>
      <w:r w:rsidR="00B15238" w:rsidRPr="00B15238">
        <w:rPr>
          <w:highlight w:val="cyan"/>
        </w:rPr>
        <w:t>4</w:t>
      </w:r>
      <w:r w:rsidR="008F1AEB">
        <w:t xml:space="preserve">, science </w:t>
      </w:r>
      <w:r w:rsidR="00F6785B">
        <w:t xml:space="preserve">is also a </w:t>
      </w:r>
      <w:r w:rsidR="004E4BF5">
        <w:t xml:space="preserve">flawed creation of human minds and has </w:t>
      </w:r>
      <w:r w:rsidR="00F91B7E">
        <w:t xml:space="preserve">as a result </w:t>
      </w:r>
      <w:r w:rsidR="00FB5B86">
        <w:t>failed to maintain</w:t>
      </w:r>
      <w:r w:rsidR="00F6785B">
        <w:t xml:space="preserve"> provide</w:t>
      </w:r>
      <w:r w:rsidR="00DF5A3E">
        <w:t xml:space="preserve"> </w:t>
      </w:r>
      <w:r w:rsidR="00F6785B">
        <w:t xml:space="preserve">an </w:t>
      </w:r>
      <w:r w:rsidR="00DF5A3E">
        <w:t>independence</w:t>
      </w:r>
      <w:r w:rsidR="00F6785B">
        <w:t xml:space="preserve"> space</w:t>
      </w:r>
      <w:r w:rsidR="00F91B7E">
        <w:t xml:space="preserve"> </w:t>
      </w:r>
      <w:r w:rsidR="008F1AEB">
        <w:t xml:space="preserve">scientists are </w:t>
      </w:r>
      <w:r w:rsidR="00F91B7E">
        <w:t>pressed</w:t>
      </w:r>
      <w:r w:rsidR="008F1AEB">
        <w:t xml:space="preserve"> to choose</w:t>
      </w:r>
      <w:r w:rsidR="00F6785B">
        <w:t xml:space="preserve"> between their</w:t>
      </w:r>
      <w:r w:rsidR="008F1AEB">
        <w:t xml:space="preserve"> funding or the independence to</w:t>
      </w:r>
      <w:r w:rsidR="00F6785B">
        <w:t xml:space="preserve"> self-assess if their work is safe to </w:t>
      </w:r>
      <w:r w:rsidR="008F1AEB">
        <w:t xml:space="preserve"> publish </w:t>
      </w:r>
      <w:r w:rsidR="00DE699E" w:rsidRPr="00DE699E">
        <w:rPr>
          <w:highlight w:val="cyan"/>
        </w:rPr>
        <w:t>5</w:t>
      </w:r>
      <w:r w:rsidR="00A07AED">
        <w:t xml:space="preserve">. </w:t>
      </w:r>
    </w:p>
    <w:p w14:paraId="0D71E390" w14:textId="246134F0" w:rsidR="00CB2937" w:rsidRDefault="008F1AEB" w:rsidP="00870938">
      <w:pPr>
        <w:spacing w:line="480" w:lineRule="auto"/>
        <w:ind w:firstLine="720"/>
      </w:pPr>
      <w:r>
        <w:lastRenderedPageBreak/>
        <w:t xml:space="preserve">The </w:t>
      </w:r>
      <w:r w:rsidR="000A37D9">
        <w:t>study of life</w:t>
      </w:r>
      <w:r w:rsidR="00870938">
        <w:t xml:space="preserve"> which</w:t>
      </w:r>
      <w:r w:rsidR="000A37D9">
        <w:t xml:space="preserve"> we call biology</w:t>
      </w:r>
      <w:r w:rsidR="00943982">
        <w:t>,</w:t>
      </w:r>
      <w:r w:rsidR="000A37D9">
        <w:t xml:space="preserve"> </w:t>
      </w:r>
      <w:r w:rsidR="004B3109">
        <w:t xml:space="preserve">appeared </w:t>
      </w:r>
      <w:r>
        <w:t>during the middle part of the “Green Revolution”</w:t>
      </w:r>
      <w:r w:rsidR="00473A0F">
        <w:t xml:space="preserve"> to be</w:t>
      </w:r>
      <w:r w:rsidR="000A37D9">
        <w:t xml:space="preserve"> on the precipice of curing hunger and mitigating d</w:t>
      </w:r>
      <w:r w:rsidR="00473A0F">
        <w:t xml:space="preserve">isease on a </w:t>
      </w:r>
      <w:r w:rsidR="000A37D9">
        <w:t>global</w:t>
      </w:r>
      <w:r w:rsidR="00E90AAF">
        <w:t xml:space="preserve"> level</w:t>
      </w:r>
      <w:r w:rsidR="00CB2937">
        <w:t>,</w:t>
      </w:r>
      <w:r w:rsidR="00E90AAF">
        <w:t xml:space="preserve"> yet</w:t>
      </w:r>
      <w:r w:rsidR="004E4BF5">
        <w:t xml:space="preserve"> </w:t>
      </w:r>
      <w:r w:rsidR="00E90AAF">
        <w:t xml:space="preserve">by the time </w:t>
      </w:r>
      <w:r>
        <w:t>it</w:t>
      </w:r>
      <w:r w:rsidR="00CB2937">
        <w:t xml:space="preserve"> reac</w:t>
      </w:r>
      <w:r w:rsidR="00E90AAF">
        <w:t>hed its final decade</w:t>
      </w:r>
      <w:r>
        <w:t>,</w:t>
      </w:r>
      <w:r w:rsidR="00E90AAF">
        <w:t xml:space="preserve"> </w:t>
      </w:r>
      <w:r w:rsidR="00CB2937">
        <w:t xml:space="preserve">biology </w:t>
      </w:r>
      <w:r w:rsidR="00CF3F5D">
        <w:t>too</w:t>
      </w:r>
      <w:r>
        <w:t xml:space="preserve"> had</w:t>
      </w:r>
      <w:r w:rsidR="00CF3F5D">
        <w:t xml:space="preserve"> </w:t>
      </w:r>
      <w:r w:rsidR="00730F70">
        <w:t>beco</w:t>
      </w:r>
      <w:r w:rsidR="00CF3F5D">
        <w:t xml:space="preserve">me </w:t>
      </w:r>
      <w:r w:rsidR="004B3109">
        <w:t>a victim of the divisive</w:t>
      </w:r>
      <w:r w:rsidR="00CF3F5D">
        <w:t xml:space="preserve"> conflagrations </w:t>
      </w:r>
      <w:r w:rsidR="005A7718">
        <w:t>and</w:t>
      </w:r>
      <w:r w:rsidR="00CF3F5D">
        <w:t xml:space="preserve"> </w:t>
      </w:r>
      <w:r w:rsidR="000A37D9">
        <w:t>revolution</w:t>
      </w:r>
      <w:r w:rsidR="00CF3F5D">
        <w:t>s</w:t>
      </w:r>
      <w:r w:rsidR="00CB2937">
        <w:t xml:space="preserve"> </w:t>
      </w:r>
      <w:r w:rsidR="00CF3F5D">
        <w:t>across the globe</w:t>
      </w:r>
      <w:r w:rsidR="00473A0F">
        <w:t xml:space="preserve"> </w:t>
      </w:r>
      <w:r w:rsidR="00473A0F" w:rsidRPr="00473A0F">
        <w:rPr>
          <w:highlight w:val="cyan"/>
        </w:rPr>
        <w:t>6</w:t>
      </w:r>
      <w:r w:rsidR="00CB2937">
        <w:t xml:space="preserve">. </w:t>
      </w:r>
      <w:r w:rsidR="00E90AAF">
        <w:t xml:space="preserve">The </w:t>
      </w:r>
      <w:r w:rsidR="00135F75">
        <w:t>alleviation of</w:t>
      </w:r>
      <w:r w:rsidR="004B3109">
        <w:t xml:space="preserve"> </w:t>
      </w:r>
      <w:r w:rsidR="00CB2937">
        <w:t>famine and starvation in China became</w:t>
      </w:r>
      <w:r w:rsidR="00135F75">
        <w:t xml:space="preserve"> an economic incentive</w:t>
      </w:r>
      <w:r w:rsidR="00CB2937">
        <w:t xml:space="preserve"> and</w:t>
      </w:r>
      <w:r w:rsidR="00135F75">
        <w:t xml:space="preserve"> a tool</w:t>
      </w:r>
      <w:r w:rsidR="00CB2937">
        <w:t xml:space="preserve"> of diplomacy</w:t>
      </w:r>
      <w:r w:rsidR="00135F75">
        <w:t xml:space="preserve">. Instead of </w:t>
      </w:r>
      <w:r w:rsidR="00E90AAF">
        <w:t>the immediate transfer of the</w:t>
      </w:r>
      <w:r w:rsidR="00135F75">
        <w:t xml:space="preserve"> tools required</w:t>
      </w:r>
      <w:r w:rsidR="00E90AAF">
        <w:t xml:space="preserve"> for researching and developing </w:t>
      </w:r>
      <w:r w:rsidR="004B3109">
        <w:t>a “Green Revolution”</w:t>
      </w:r>
      <w:r w:rsidR="00135F75">
        <w:t>, the more pressing conc</w:t>
      </w:r>
      <w:r w:rsidR="00E90AAF">
        <w:t>ern for China was</w:t>
      </w:r>
      <w:r w:rsidR="005A7718">
        <w:t xml:space="preserve"> to</w:t>
      </w:r>
      <w:r w:rsidR="00135F75">
        <w:t xml:space="preserve"> </w:t>
      </w:r>
      <w:r w:rsidR="00E90AAF">
        <w:t xml:space="preserve">simply </w:t>
      </w:r>
      <w:r w:rsidR="005A7718">
        <w:t>have</w:t>
      </w:r>
      <w:r>
        <w:t xml:space="preserve"> enough</w:t>
      </w:r>
      <w:r w:rsidR="00135F75">
        <w:t xml:space="preserve"> food</w:t>
      </w:r>
      <w:r w:rsidR="00E90AAF">
        <w:t xml:space="preserve">. </w:t>
      </w:r>
      <w:r w:rsidR="004B3109">
        <w:t>With</w:t>
      </w:r>
      <w:r w:rsidR="00E90AAF">
        <w:t xml:space="preserve"> less emphasis </w:t>
      </w:r>
      <w:r w:rsidR="004B3109">
        <w:t>placed at</w:t>
      </w:r>
      <w:r w:rsidR="006B0275">
        <w:t xml:space="preserve"> that time</w:t>
      </w:r>
      <w:r w:rsidR="00E90AAF">
        <w:t xml:space="preserve"> on </w:t>
      </w:r>
      <w:r w:rsidR="005A7718">
        <w:t>ensuring</w:t>
      </w:r>
      <w:r w:rsidR="00E90AAF">
        <w:t xml:space="preserve"> long term food secur</w:t>
      </w:r>
      <w:r w:rsidR="006B0275">
        <w:t>ity</w:t>
      </w:r>
      <w:r w:rsidR="004B3109">
        <w:t xml:space="preserve"> through technological investments agricultural and genomic remained limited</w:t>
      </w:r>
      <w:bookmarkStart w:id="0" w:name="_GoBack"/>
      <w:bookmarkEnd w:id="0"/>
      <w:r w:rsidR="00E90AAF">
        <w:t xml:space="preserve">. </w:t>
      </w:r>
      <w:r w:rsidR="006B0275">
        <w:t>Through extensive investments</w:t>
      </w:r>
      <w:r>
        <w:t xml:space="preserve"> and funding of</w:t>
      </w:r>
      <w:r w:rsidR="006B0275">
        <w:t xml:space="preserve"> biotechnology research facilities this has changed dramatically from the 1970s. This transition is </w:t>
      </w:r>
      <w:r w:rsidR="00E90AAF">
        <w:t>evidenced</w:t>
      </w:r>
      <w:r w:rsidR="006B0275">
        <w:t xml:space="preserve"> most recently</w:t>
      </w:r>
      <w:r w:rsidR="00E90AAF">
        <w:t xml:space="preserve"> by ChemChina’s purchase of Syngenta.</w:t>
      </w:r>
      <w:r w:rsidR="0060618A">
        <w:t xml:space="preserve"> </w:t>
      </w:r>
      <w:r w:rsidR="00473A0F">
        <w:rPr>
          <w:highlight w:val="cyan"/>
        </w:rPr>
        <w:t>7</w:t>
      </w:r>
    </w:p>
    <w:p w14:paraId="6F904E12" w14:textId="547D2F38" w:rsidR="005A7718" w:rsidRDefault="005A7718" w:rsidP="00870938">
      <w:pPr>
        <w:spacing w:line="480" w:lineRule="auto"/>
        <w:ind w:firstLine="720"/>
      </w:pPr>
      <w:r>
        <w:t xml:space="preserve">The </w:t>
      </w:r>
      <w:r w:rsidR="00B35433">
        <w:t>revolution</w:t>
      </w:r>
      <w:r>
        <w:t>s brought with them</w:t>
      </w:r>
      <w:r w:rsidR="00B35433">
        <w:t xml:space="preserve"> </w:t>
      </w:r>
      <w:r w:rsidR="00C27AEE">
        <w:t xml:space="preserve">political instability, agricultural and financial inequality, </w:t>
      </w:r>
      <w:r w:rsidR="00E4779C">
        <w:t xml:space="preserve">destructive </w:t>
      </w:r>
      <w:r w:rsidR="00C27AEE">
        <w:t>militias</w:t>
      </w:r>
      <w:r w:rsidR="00B35433">
        <w:t xml:space="preserve"> and death squads</w:t>
      </w:r>
      <w:r w:rsidR="00C27AEE">
        <w:t>,</w:t>
      </w:r>
      <w:r w:rsidR="00E4779C">
        <w:t xml:space="preserve"> </w:t>
      </w:r>
      <w:r w:rsidR="00C27AEE">
        <w:t>terrorism</w:t>
      </w:r>
      <w:r w:rsidR="00BB651E">
        <w:t xml:space="preserve"> against civilians</w:t>
      </w:r>
      <w:r w:rsidR="00C27AEE">
        <w:t>,</w:t>
      </w:r>
      <w:r w:rsidR="00E4779C">
        <w:t xml:space="preserve"> massive</w:t>
      </w:r>
      <w:r w:rsidR="00C27AEE">
        <w:t xml:space="preserve"> wealth redistribution</w:t>
      </w:r>
      <w:r w:rsidR="00BB651E">
        <w:t>s</w:t>
      </w:r>
      <w:r w:rsidR="00C27AEE">
        <w:t>,</w:t>
      </w:r>
      <w:r w:rsidR="00E4779C">
        <w:t xml:space="preserve"> and</w:t>
      </w:r>
      <w:r w:rsidR="00A07AED">
        <w:t xml:space="preserve"> international proxy wars.</w:t>
      </w:r>
      <w:r w:rsidR="003D1758">
        <w:t xml:space="preserve"> </w:t>
      </w:r>
      <w:r>
        <w:t>While the products of the “Green Revolution” and the subsequent advances in genomics were beneficial, they left many behind and little was accomplished in many of the places where communist revolutions had instead taken hold.</w:t>
      </w:r>
    </w:p>
    <w:p w14:paraId="171804E3" w14:textId="023FA6F6" w:rsidR="00E4779C" w:rsidRDefault="003D1758" w:rsidP="005A7718">
      <w:pPr>
        <w:spacing w:line="480" w:lineRule="auto"/>
      </w:pPr>
      <w:r>
        <w:t>More</w:t>
      </w:r>
      <w:r w:rsidR="00E4779C">
        <w:t xml:space="preserve"> re</w:t>
      </w:r>
      <w:r w:rsidR="005A7718">
        <w:t>cent</w:t>
      </w:r>
      <w:r w:rsidR="00BB651E">
        <w:t xml:space="preserve"> conflicts have come to be</w:t>
      </w:r>
      <w:r w:rsidR="00E4779C">
        <w:t xml:space="preserve"> defined by </w:t>
      </w:r>
      <w:r w:rsidR="00874658">
        <w:t>perpetual</w:t>
      </w:r>
      <w:r w:rsidR="00E4779C">
        <w:t xml:space="preserve"> diaspora</w:t>
      </w:r>
      <w:r w:rsidR="00BB651E">
        <w:t>s</w:t>
      </w:r>
      <w:r w:rsidR="00874658">
        <w:t xml:space="preserve"> and</w:t>
      </w:r>
      <w:r w:rsidR="004B14FB">
        <w:t xml:space="preserve"> a</w:t>
      </w:r>
      <w:r w:rsidR="00E4779C">
        <w:t xml:space="preserve"> global</w:t>
      </w:r>
      <w:r w:rsidR="00874658">
        <w:t xml:space="preserve"> refugee</w:t>
      </w:r>
      <w:r w:rsidR="00E4779C">
        <w:t xml:space="preserve"> crisis</w:t>
      </w:r>
      <w:r w:rsidR="00DF5A3E">
        <w:t xml:space="preserve"> that is projected to continue well into the 21</w:t>
      </w:r>
      <w:r w:rsidR="00DF5A3E" w:rsidRPr="00DF5A3E">
        <w:rPr>
          <w:vertAlign w:val="superscript"/>
        </w:rPr>
        <w:t>st</w:t>
      </w:r>
      <w:r w:rsidR="00BB651E">
        <w:t xml:space="preserve"> century. These mass migrations can</w:t>
      </w:r>
      <w:r w:rsidR="005A7718">
        <w:t xml:space="preserve"> partially be blamed on war</w:t>
      </w:r>
      <w:r w:rsidR="00BB651E">
        <w:t xml:space="preserve"> in areas subjected to </w:t>
      </w:r>
      <w:r w:rsidR="00DF5A3E">
        <w:t>dwindling fresh water supplies and</w:t>
      </w:r>
      <w:r w:rsidR="00877EEC">
        <w:t xml:space="preserve"> slow or stagnant</w:t>
      </w:r>
      <w:r w:rsidR="00BB651E">
        <w:t xml:space="preserve"> growth in crop yield</w:t>
      </w:r>
      <w:r w:rsidR="00877EEC">
        <w:t>s</w:t>
      </w:r>
      <w:r w:rsidR="005A7718">
        <w:t xml:space="preserve"> with conflict over water for irrigation only expected to intensify in the coming decades new approaches using modern biology has the potential to aid in solving not just hunger but also alleviation conflicts caused by demands for freshwater and good farm land</w:t>
      </w:r>
      <w:r w:rsidR="00BB651E">
        <w:t>.</w:t>
      </w:r>
      <w:r w:rsidR="005A7718">
        <w:t xml:space="preserve"> </w:t>
      </w:r>
      <w:r w:rsidR="00BB651E">
        <w:t xml:space="preserve"> It is </w:t>
      </w:r>
      <w:r w:rsidR="00FB3E73">
        <w:t xml:space="preserve">in </w:t>
      </w:r>
      <w:r w:rsidR="00BB651E">
        <w:t xml:space="preserve">these </w:t>
      </w:r>
      <w:r w:rsidR="008F1AEB">
        <w:t xml:space="preserve">same </w:t>
      </w:r>
      <w:r w:rsidR="00BB651E">
        <w:t>areas</w:t>
      </w:r>
      <w:r w:rsidR="00877EEC">
        <w:t xml:space="preserve"> of the globe</w:t>
      </w:r>
      <w:r w:rsidR="005A7718">
        <w:t xml:space="preserve"> where food and freshwater</w:t>
      </w:r>
      <w:r w:rsidR="00BB651E">
        <w:t xml:space="preserve"> </w:t>
      </w:r>
      <w:r w:rsidR="005A7718">
        <w:t>are severly limited that have</w:t>
      </w:r>
      <w:r w:rsidR="009A0E26">
        <w:t xml:space="preserve"> seen the least benefit from the</w:t>
      </w:r>
      <w:r w:rsidR="00BB651E">
        <w:t xml:space="preserve"> adv</w:t>
      </w:r>
      <w:r w:rsidR="009A0E26">
        <w:t>ances of the “Green Revolution”.</w:t>
      </w:r>
    </w:p>
    <w:p w14:paraId="72C3269D" w14:textId="022F3512" w:rsidR="00D8412D" w:rsidRDefault="00874658" w:rsidP="00E4779C">
      <w:pPr>
        <w:spacing w:line="480" w:lineRule="auto"/>
        <w:ind w:firstLine="720"/>
      </w:pPr>
      <w:r>
        <w:t>When the 1970s came to a start</w:t>
      </w:r>
      <w:r w:rsidR="00E4779C">
        <w:t>,</w:t>
      </w:r>
      <w:r>
        <w:t xml:space="preserve"> humanity stood</w:t>
      </w:r>
      <w:r w:rsidR="00665B43">
        <w:t xml:space="preserve"> divided</w:t>
      </w:r>
      <w:r>
        <w:t xml:space="preserve"> between </w:t>
      </w:r>
      <w:r w:rsidR="00494CAE">
        <w:t xml:space="preserve">two </w:t>
      </w:r>
      <w:r w:rsidR="00665B43">
        <w:t>incompatible</w:t>
      </w:r>
      <w:r w:rsidR="00494CAE">
        <w:t xml:space="preserve"> out</w:t>
      </w:r>
      <w:r w:rsidR="00665B43">
        <w:t>comes: one that sought to achieve</w:t>
      </w:r>
      <w:r>
        <w:t xml:space="preserve"> </w:t>
      </w:r>
      <w:r w:rsidR="00232A9F">
        <w:t xml:space="preserve">global </w:t>
      </w:r>
      <w:r w:rsidR="00494CAE">
        <w:t>revolution</w:t>
      </w:r>
      <w:r w:rsidR="00665B43">
        <w:t>s</w:t>
      </w:r>
      <w:r w:rsidR="00494CAE">
        <w:t xml:space="preserve"> at any cost</w:t>
      </w:r>
      <w:r>
        <w:t xml:space="preserve"> </w:t>
      </w:r>
      <w:r w:rsidR="00232A9F">
        <w:t>a</w:t>
      </w:r>
      <w:r>
        <w:t>nd</w:t>
      </w:r>
      <w:r w:rsidR="00494CAE">
        <w:t xml:space="preserve"> another that sought to prevent</w:t>
      </w:r>
      <w:r w:rsidR="000A37D9">
        <w:t xml:space="preserve"> a</w:t>
      </w:r>
      <w:r w:rsidR="00232A9F">
        <w:t xml:space="preserve"> nuclear </w:t>
      </w:r>
      <w:r>
        <w:t>apocalypse</w:t>
      </w:r>
      <w:r w:rsidR="00744D07">
        <w:t xml:space="preserve"> at all costs. </w:t>
      </w:r>
      <w:r w:rsidR="000E1F67">
        <w:t xml:space="preserve"> </w:t>
      </w:r>
      <w:r w:rsidR="00494CAE">
        <w:t>When the planet and its people were most in need of a “Green Renaissance”, the</w:t>
      </w:r>
      <w:r w:rsidR="00016B8B">
        <w:t xml:space="preserve"> outcome was</w:t>
      </w:r>
      <w:r w:rsidR="00494CAE">
        <w:t xml:space="preserve"> </w:t>
      </w:r>
      <w:r w:rsidR="00CB5395">
        <w:t>instead a</w:t>
      </w:r>
      <w:r w:rsidR="00665B43">
        <w:t xml:space="preserve"> “Revolution”</w:t>
      </w:r>
      <w:r w:rsidR="00943982">
        <w:t xml:space="preserve"> </w:t>
      </w:r>
      <w:r w:rsidR="00665B43">
        <w:t>born out of</w:t>
      </w:r>
      <w:r w:rsidR="00494CAE">
        <w:t xml:space="preserve"> initiatives and projects that sough</w:t>
      </w:r>
      <w:r w:rsidR="000A37D9">
        <w:t xml:space="preserve">t to </w:t>
      </w:r>
      <w:r w:rsidR="000E1F67">
        <w:t>ensure that global</w:t>
      </w:r>
      <w:r w:rsidR="00665B43">
        <w:t xml:space="preserve"> ac</w:t>
      </w:r>
      <w:r w:rsidR="00E4779C">
        <w:t>cess to</w:t>
      </w:r>
      <w:r w:rsidR="00A07AED">
        <w:t xml:space="preserve"> cutting edge</w:t>
      </w:r>
      <w:r w:rsidR="00E4779C">
        <w:t xml:space="preserve"> science remained limited</w:t>
      </w:r>
      <w:r w:rsidR="00DF5A3E">
        <w:t xml:space="preserve"> as a means of constricting</w:t>
      </w:r>
      <w:r w:rsidR="000E1F67">
        <w:t xml:space="preserve"> access to nuclear</w:t>
      </w:r>
      <w:r w:rsidR="00877EEC">
        <w:t xml:space="preserve"> materials and agrochemical dual-use</w:t>
      </w:r>
      <w:r w:rsidR="000E1F67">
        <w:t xml:space="preserve"> </w:t>
      </w:r>
      <w:r w:rsidR="00877EEC">
        <w:t>technologies</w:t>
      </w:r>
      <w:r w:rsidR="000E1F67">
        <w:t>.</w:t>
      </w:r>
    </w:p>
    <w:p w14:paraId="1384EDF6" w14:textId="10944330" w:rsidR="0043565F" w:rsidRDefault="00D8412D" w:rsidP="00E4779C">
      <w:pPr>
        <w:spacing w:line="480" w:lineRule="auto"/>
        <w:ind w:firstLine="720"/>
      </w:pPr>
      <w:r>
        <w:t>The “Green Revolution” faltered in achieving its egalitarian goals in part due to relentless effor</w:t>
      </w:r>
      <w:r w:rsidR="00DF5A3E">
        <w:t>ts to guard the secrets of a bold new</w:t>
      </w:r>
      <w:r w:rsidR="00016B8B">
        <w:t xml:space="preserve"> biological</w:t>
      </w:r>
      <w:r>
        <w:t xml:space="preserve"> science from international adversaries</w:t>
      </w:r>
      <w:r w:rsidR="00DF5A3E">
        <w:t xml:space="preserve"> who it was believed would seize the technology to </w:t>
      </w:r>
      <w:r>
        <w:t xml:space="preserve">develop sophisticated biological weapons in a world where </w:t>
      </w:r>
      <w:r w:rsidR="00E4779C">
        <w:t>international policies were</w:t>
      </w:r>
      <w:r>
        <w:t xml:space="preserve"> set</w:t>
      </w:r>
      <w:r w:rsidR="00E4779C">
        <w:t xml:space="preserve"> </w:t>
      </w:r>
      <w:r>
        <w:t>by brinksmanship, mutually assured destruction, and the security dilemma. The massive technological and scientific pa</w:t>
      </w:r>
      <w:r w:rsidR="00016B8B">
        <w:t xml:space="preserve">radigm shifts of the previous four </w:t>
      </w:r>
      <w:r>
        <w:t>decades showed the world in the 1970s that it was possible to use genomics to optimize crop outputs, but what the “Green Revolution” failed miserably at was showing those</w:t>
      </w:r>
      <w:r w:rsidR="00E4779C">
        <w:t xml:space="preserve"> who were</w:t>
      </w:r>
      <w:r>
        <w:t xml:space="preserve"> most</w:t>
      </w:r>
      <w:r w:rsidR="00E4779C">
        <w:t xml:space="preserve"> in</w:t>
      </w:r>
      <w:r w:rsidR="00DF5A3E">
        <w:t xml:space="preserve"> need of</w:t>
      </w:r>
      <w:r>
        <w:t xml:space="preserve"> revolutionary methods</w:t>
      </w:r>
      <w:r w:rsidR="00DF5A3E">
        <w:t xml:space="preserve"> in agricultural practices</w:t>
      </w:r>
      <w:r>
        <w:t xml:space="preserve"> how to achieve the radical possibilities afforded by th</w:t>
      </w:r>
      <w:r w:rsidR="00A07AED">
        <w:t>e</w:t>
      </w:r>
      <w:r w:rsidR="00DF5A3E">
        <w:t xml:space="preserve"> scientific</w:t>
      </w:r>
      <w:r w:rsidR="00A07AED">
        <w:t xml:space="preserve"> </w:t>
      </w:r>
      <w:r>
        <w:t>progress</w:t>
      </w:r>
      <w:r w:rsidR="00DF5A3E">
        <w:t xml:space="preserve"> of the era</w:t>
      </w:r>
      <w:r>
        <w:t xml:space="preserve">. </w:t>
      </w:r>
    </w:p>
    <w:p w14:paraId="60FDDC44" w14:textId="77777777" w:rsidR="000D61A1" w:rsidRDefault="00D8412D" w:rsidP="006B0275">
      <w:pPr>
        <w:spacing w:line="480" w:lineRule="auto"/>
        <w:ind w:firstLine="720"/>
      </w:pPr>
      <w:r>
        <w:t>The 21</w:t>
      </w:r>
      <w:r w:rsidRPr="00E259CA">
        <w:rPr>
          <w:vertAlign w:val="superscript"/>
        </w:rPr>
        <w:t>st</w:t>
      </w:r>
      <w:r w:rsidR="00E4779C">
        <w:t xml:space="preserve"> century offers biology a</w:t>
      </w:r>
      <w:r>
        <w:t xml:space="preserve"> chance as a science to achieve not just a</w:t>
      </w:r>
      <w:r w:rsidR="00877EEC">
        <w:t xml:space="preserve"> “Green Revolution”, but a far reaching and</w:t>
      </w:r>
      <w:r>
        <w:t xml:space="preserve"> transformational “Green Renaissance” that will empower people around the world toward agric</w:t>
      </w:r>
      <w:r w:rsidR="00A07AED">
        <w:t>ultural and medicinal discovery</w:t>
      </w:r>
      <w:r>
        <w:t>. As d</w:t>
      </w:r>
      <w:r w:rsidR="00665B43">
        <w:t>emocratization of knowledge through computational discovery</w:t>
      </w:r>
      <w:r w:rsidR="002E56C3">
        <w:t xml:space="preserve"> </w:t>
      </w:r>
      <w:r>
        <w:t>makes once</w:t>
      </w:r>
      <w:r w:rsidR="00176C52">
        <w:t xml:space="preserve"> difficult methods</w:t>
      </w:r>
      <w:r w:rsidR="00916320">
        <w:t xml:space="preserve"> in science</w:t>
      </w:r>
      <w:r w:rsidR="00A07AED">
        <w:t xml:space="preserve"> more</w:t>
      </w:r>
      <w:r w:rsidR="00176C52">
        <w:t xml:space="preserve"> trivial</w:t>
      </w:r>
      <w:r w:rsidR="00E4779C">
        <w:t xml:space="preserve">, biology must </w:t>
      </w:r>
      <w:r w:rsidR="00016B8B">
        <w:t>confront</w:t>
      </w:r>
      <w:r w:rsidR="00E4779C">
        <w:t xml:space="preserve"> the issue</w:t>
      </w:r>
      <w:r w:rsidR="00916320">
        <w:t xml:space="preserve"> of dual use</w:t>
      </w:r>
      <w:r w:rsidR="00E4779C">
        <w:t xml:space="preserve"> technology</w:t>
      </w:r>
      <w:r w:rsidR="00916320">
        <w:t xml:space="preserve"> in a way that does not stymie access to life saving scientific </w:t>
      </w:r>
      <w:r w:rsidR="00260307">
        <w:t>tools</w:t>
      </w:r>
      <w:r w:rsidR="00877EEC">
        <w:t xml:space="preserve"> as happened in the 20</w:t>
      </w:r>
      <w:r w:rsidR="00877EEC" w:rsidRPr="00877EEC">
        <w:rPr>
          <w:vertAlign w:val="superscript"/>
        </w:rPr>
        <w:t>th</w:t>
      </w:r>
      <w:r w:rsidR="00877EEC">
        <w:t xml:space="preserve"> century</w:t>
      </w:r>
      <w:r w:rsidR="007B10AE">
        <w:t>.</w:t>
      </w:r>
      <w:r w:rsidR="0017632C">
        <w:t xml:space="preserve"> </w:t>
      </w:r>
      <w:r w:rsidR="00260307">
        <w:t>Today, t</w:t>
      </w:r>
      <w:r w:rsidR="00176C52">
        <w:t xml:space="preserve">he knowledge required to automate </w:t>
      </w:r>
      <w:r w:rsidR="0017632C">
        <w:t>science remains</w:t>
      </w:r>
      <w:r w:rsidR="007B10AE">
        <w:t xml:space="preserve"> occulted both</w:t>
      </w:r>
      <w:r w:rsidR="0017632C">
        <w:t xml:space="preserve"> within</w:t>
      </w:r>
      <w:r w:rsidR="007B10AE">
        <w:t xml:space="preserve"> the ivory tower</w:t>
      </w:r>
      <w:r w:rsidR="0017632C">
        <w:t>s</w:t>
      </w:r>
      <w:r w:rsidR="007B10AE">
        <w:t xml:space="preserve"> of academia and behind the razor wires of military bases and national research laboratories</w:t>
      </w:r>
      <w:r w:rsidR="0017632C">
        <w:t>.</w:t>
      </w:r>
      <w:r w:rsidR="00297FA6">
        <w:t xml:space="preserve"> This is for the time being a</w:t>
      </w:r>
      <w:r w:rsidR="0017632C">
        <w:t xml:space="preserve"> good thing</w:t>
      </w:r>
      <w:r w:rsidR="00411A32">
        <w:t xml:space="preserve"> for the world</w:t>
      </w:r>
      <w:r w:rsidR="0017632C">
        <w:t xml:space="preserve"> considering t</w:t>
      </w:r>
      <w:r w:rsidR="00297FA6">
        <w:t xml:space="preserve">hat before synthetic biology should </w:t>
      </w:r>
      <w:r w:rsidR="0017632C">
        <w:t xml:space="preserve">be democratized, safety and predictability must first be </w:t>
      </w:r>
      <w:r w:rsidR="00411A32">
        <w:t>demo</w:t>
      </w:r>
      <w:r w:rsidR="00DB35BF">
        <w:t>nstrated within the confines of</w:t>
      </w:r>
      <w:r w:rsidR="00297FA6">
        <w:t xml:space="preserve"> scientific</w:t>
      </w:r>
      <w:r>
        <w:t xml:space="preserve"> establishment</w:t>
      </w:r>
      <w:r w:rsidR="00DB35BF">
        <w:t>s</w:t>
      </w:r>
      <w:r w:rsidR="000E1BCE">
        <w:t xml:space="preserve"> where s</w:t>
      </w:r>
      <w:r w:rsidR="00DB35BF">
        <w:t>afety and training compliance are</w:t>
      </w:r>
      <w:r w:rsidR="000E1BCE">
        <w:t xml:space="preserve"> required and reviewed</w:t>
      </w:r>
      <w:r w:rsidR="00CB5395">
        <w:t>.</w:t>
      </w:r>
      <w:r>
        <w:t xml:space="preserve"> </w:t>
      </w:r>
      <w:r w:rsidR="0043565F">
        <w:t>The U</w:t>
      </w:r>
      <w:r w:rsidR="00DB35BF">
        <w:t>nited States, in part due to the use</w:t>
      </w:r>
      <w:r w:rsidR="0043565F">
        <w:t xml:space="preserve"> controversial electronic surveillance programs could </w:t>
      </w:r>
      <w:r w:rsidR="00B767CD">
        <w:t>feasibly</w:t>
      </w:r>
      <w:r w:rsidR="0043565F">
        <w:t xml:space="preserve"> monitor</w:t>
      </w:r>
      <w:r w:rsidR="00DB35BF">
        <w:t xml:space="preserve"> its</w:t>
      </w:r>
      <w:r w:rsidR="0043565F">
        <w:t xml:space="preserve"> citizen scientists</w:t>
      </w:r>
      <w:r w:rsidR="000E1BCE">
        <w:t xml:space="preserve"> in do-it-</w:t>
      </w:r>
      <w:r w:rsidR="00DF5A3E">
        <w:t>yourself labs</w:t>
      </w:r>
      <w:r w:rsidR="00DB35BF">
        <w:t xml:space="preserve"> in homes and garages as a means of</w:t>
      </w:r>
      <w:r w:rsidR="0043565F">
        <w:t xml:space="preserve"> hazard</w:t>
      </w:r>
      <w:r w:rsidR="005A2B16">
        <w:t xml:space="preserve"> mitigation</w:t>
      </w:r>
      <w:r w:rsidR="000E1BCE">
        <w:t xml:space="preserve"> and counter-terrorism prevention</w:t>
      </w:r>
      <w:r w:rsidR="00264F21">
        <w:t xml:space="preserve">, but </w:t>
      </w:r>
      <w:r w:rsidR="00DF5A3E">
        <w:t xml:space="preserve">the </w:t>
      </w:r>
      <w:r w:rsidR="00DB35BF">
        <w:t>established</w:t>
      </w:r>
      <w:r w:rsidR="00DF5A3E">
        <w:t xml:space="preserve"> </w:t>
      </w:r>
      <w:r w:rsidR="00DB35BF">
        <w:t>institutions of scientific research remain</w:t>
      </w:r>
      <w:r w:rsidR="000E1BCE">
        <w:t xml:space="preserve"> by far</w:t>
      </w:r>
      <w:r w:rsidR="00DF5A3E">
        <w:t xml:space="preserve"> the safest an</w:t>
      </w:r>
      <w:r w:rsidR="000E1BCE">
        <w:t>d best option</w:t>
      </w:r>
      <w:r w:rsidR="00DB35BF">
        <w:t>s</w:t>
      </w:r>
      <w:r w:rsidR="000E1BCE">
        <w:t xml:space="preserve"> for </w:t>
      </w:r>
      <w:r w:rsidR="00DB35BF">
        <w:t xml:space="preserve">the </w:t>
      </w:r>
      <w:r w:rsidR="000E1BCE">
        <w:t>incubation of</w:t>
      </w:r>
      <w:r w:rsidR="00DF5A3E">
        <w:t xml:space="preserve"> dual use technologies</w:t>
      </w:r>
      <w:r w:rsidR="00264F21">
        <w:t xml:space="preserve"> that could provide</w:t>
      </w:r>
      <w:r w:rsidR="00DF5A3E">
        <w:t xml:space="preserve"> much-needed </w:t>
      </w:r>
      <w:r w:rsidR="00DB35BF">
        <w:t xml:space="preserve">boosts </w:t>
      </w:r>
      <w:r w:rsidR="00DF5A3E">
        <w:t>to the</w:t>
      </w:r>
      <w:r w:rsidR="00DB35BF">
        <w:t xml:space="preserve"> global</w:t>
      </w:r>
      <w:r w:rsidR="00DF5A3E">
        <w:t xml:space="preserve"> agricultural</w:t>
      </w:r>
      <w:r w:rsidR="00DB35BF">
        <w:t xml:space="preserve"> output</w:t>
      </w:r>
      <w:r w:rsidR="000E1BCE">
        <w:t xml:space="preserve"> and </w:t>
      </w:r>
      <w:r w:rsidR="00DB35BF">
        <w:t xml:space="preserve">the </w:t>
      </w:r>
      <w:r w:rsidR="000E1BCE">
        <w:t>medical</w:t>
      </w:r>
      <w:r w:rsidR="00DF5A3E">
        <w:t xml:space="preserve"> problems the world will face in the coming decades</w:t>
      </w:r>
      <w:r w:rsidR="005A2B16">
        <w:t xml:space="preserve">. </w:t>
      </w:r>
    </w:p>
    <w:p w14:paraId="63641AB2" w14:textId="44EBB243" w:rsidR="001C7BB2" w:rsidRDefault="005A2B16" w:rsidP="006B0275">
      <w:pPr>
        <w:spacing w:line="480" w:lineRule="auto"/>
        <w:ind w:firstLine="720"/>
      </w:pPr>
      <w:r>
        <w:t>Whether</w:t>
      </w:r>
      <w:r w:rsidR="000E1BCE">
        <w:t xml:space="preserve"> heavily surveilled do-it-</w:t>
      </w:r>
      <w:r w:rsidR="00DF5A3E">
        <w:t>yourself labs provide</w:t>
      </w:r>
      <w:r w:rsidR="00DB35BF">
        <w:t xml:space="preserve"> a societal benefit or whether surveilling them is a </w:t>
      </w:r>
      <w:r>
        <w:t>morally appropriate</w:t>
      </w:r>
      <w:r w:rsidR="00B767CD">
        <w:t xml:space="preserve"> or</w:t>
      </w:r>
      <w:r>
        <w:t xml:space="preserve"> constitutional</w:t>
      </w:r>
      <w:r w:rsidR="0043565F">
        <w:t xml:space="preserve"> approach to take in democratizing the</w:t>
      </w:r>
      <w:r w:rsidR="00E4779C">
        <w:t xml:space="preserve"> biological sciences is </w:t>
      </w:r>
      <w:r w:rsidR="0043565F">
        <w:t>controversial and</w:t>
      </w:r>
      <w:r w:rsidR="000D61A1">
        <w:t xml:space="preserve"> while it is</w:t>
      </w:r>
      <w:r w:rsidR="000E1BCE">
        <w:t xml:space="preserve"> beyond the scope of this paper</w:t>
      </w:r>
      <w:r w:rsidR="00836E53">
        <w:t>,</w:t>
      </w:r>
      <w:r w:rsidR="00E4779C">
        <w:t xml:space="preserve"> the reader is urge</w:t>
      </w:r>
      <w:r w:rsidR="000E1BCE">
        <w:t xml:space="preserve">d to consider whether a world </w:t>
      </w:r>
      <w:r w:rsidR="00836E53">
        <w:t xml:space="preserve">of </w:t>
      </w:r>
      <w:r w:rsidR="00E4779C">
        <w:t>dramati</w:t>
      </w:r>
      <w:r w:rsidR="00297FA6">
        <w:t xml:space="preserve">c biological paradigm shifts </w:t>
      </w:r>
      <w:r w:rsidR="00DB35BF">
        <w:t>multiple times per</w:t>
      </w:r>
      <w:r w:rsidR="000E1BCE">
        <w:t xml:space="preserve"> decade </w:t>
      </w:r>
      <w:r w:rsidR="00836E53">
        <w:t>may require</w:t>
      </w:r>
      <w:r w:rsidR="00F43996">
        <w:t xml:space="preserve"> fundamental</w:t>
      </w:r>
      <w:r w:rsidR="00836E53">
        <w:t xml:space="preserve">ly </w:t>
      </w:r>
      <w:r w:rsidR="00E4779C">
        <w:t>re</w:t>
      </w:r>
      <w:r w:rsidR="00836E53">
        <w:t>thinking</w:t>
      </w:r>
      <w:r w:rsidR="00F43996">
        <w:t xml:space="preserve"> </w:t>
      </w:r>
      <w:r w:rsidR="00836E53">
        <w:t xml:space="preserve">laws regarding publication and also regarding what expectations of privacy scientists should reasonably expect to have in the laboratory. Keeping </w:t>
      </w:r>
      <w:r w:rsidR="00DB35BF">
        <w:t>places beyond the lab safe while still taking advantage of progress in areas like agricultural biotechnology and environmental microbial engineering for reclamation present</w:t>
      </w:r>
      <w:r w:rsidR="00836E53">
        <w:t>s</w:t>
      </w:r>
      <w:r w:rsidR="00DB35BF">
        <w:t xml:space="preserve"> many significant challenges and </w:t>
      </w:r>
      <w:r w:rsidR="00836E53">
        <w:t>maybe just</w:t>
      </w:r>
      <w:r w:rsidR="00DB35BF">
        <w:t xml:space="preserve"> as many creative potential solutions. These potential solutions </w:t>
      </w:r>
      <w:r w:rsidR="000D61A1">
        <w:t>comprise a significant and necessary piece of</w:t>
      </w:r>
      <w:r w:rsidR="00562439">
        <w:t xml:space="preserve"> background for understanding</w:t>
      </w:r>
      <w:r w:rsidR="000D61A1">
        <w:t xml:space="preserve"> the research that is proposed in the remainder of this paper. Understanding how orthogonal life can improve the safety of synthetic organisms </w:t>
      </w:r>
      <w:r w:rsidR="00DB35BF">
        <w:t xml:space="preserve">used outside of secure labs or </w:t>
      </w:r>
      <w:r w:rsidR="000D61A1">
        <w:t>in places without environmental regulation</w:t>
      </w:r>
      <w:r w:rsidR="00562439">
        <w:t>s is presented as a study of one potential application.</w:t>
      </w:r>
    </w:p>
    <w:p w14:paraId="56E9E7E4" w14:textId="171E6EFC" w:rsidR="0047595F" w:rsidRPr="0047595F" w:rsidRDefault="00E207A7" w:rsidP="001C7BB2">
      <w:pPr>
        <w:spacing w:line="480" w:lineRule="auto"/>
        <w:rPr>
          <w:u w:val="single"/>
        </w:rPr>
      </w:pPr>
      <w:r>
        <w:rPr>
          <w:u w:val="single"/>
        </w:rPr>
        <w:t>AGRICULTURAL APPLICATIONS</w:t>
      </w:r>
    </w:p>
    <w:p w14:paraId="4436115B" w14:textId="77777777" w:rsidR="00744D07" w:rsidRDefault="00297FA6" w:rsidP="00A0351C">
      <w:pPr>
        <w:spacing w:line="480" w:lineRule="auto"/>
        <w:ind w:firstLine="720"/>
      </w:pPr>
      <w:r>
        <w:t>I</w:t>
      </w:r>
      <w:r w:rsidR="00F43996">
        <w:t>n a world where the very definition of life</w:t>
      </w:r>
      <w:r w:rsidR="000E1BCE">
        <w:t xml:space="preserve"> itself may</w:t>
      </w:r>
      <w:r w:rsidR="00822C99">
        <w:t xml:space="preserve"> soon</w:t>
      </w:r>
      <w:r w:rsidR="000E1BCE">
        <w:t xml:space="preserve"> need to be </w:t>
      </w:r>
      <w:r w:rsidR="00744D07">
        <w:t>reassessed</w:t>
      </w:r>
      <w:r w:rsidR="00822C99">
        <w:t>, investigating the</w:t>
      </w:r>
      <w:r w:rsidR="001C7BB2">
        <w:t xml:space="preserve"> flexibility</w:t>
      </w:r>
      <w:r w:rsidR="00A0351C">
        <w:t xml:space="preserve"> of</w:t>
      </w:r>
      <w:r w:rsidR="001C7BB2">
        <w:t xml:space="preserve"> the</w:t>
      </w:r>
      <w:r w:rsidR="00822C99">
        <w:t xml:space="preserve"> </w:t>
      </w:r>
      <w:r w:rsidR="001C7BB2">
        <w:t xml:space="preserve">information coding </w:t>
      </w:r>
      <w:r w:rsidR="00A0351C">
        <w:t>patter</w:t>
      </w:r>
      <w:r w:rsidR="000D61A1">
        <w:t>n</w:t>
      </w:r>
      <w:r w:rsidR="00A0351C">
        <w:t xml:space="preserve">s </w:t>
      </w:r>
      <w:r w:rsidR="00822C99">
        <w:t xml:space="preserve">conserved across all </w:t>
      </w:r>
      <w:r w:rsidR="000D61A1">
        <w:t>the natural</w:t>
      </w:r>
      <w:r w:rsidR="00822C99">
        <w:t xml:space="preserve"> biological systems has begun to deliver </w:t>
      </w:r>
      <w:r w:rsidR="000D61A1">
        <w:t xml:space="preserve">results that have aided in </w:t>
      </w:r>
      <w:r w:rsidR="00A0351C">
        <w:t>the construction of</w:t>
      </w:r>
      <w:r w:rsidR="000D61A1">
        <w:t xml:space="preserve"> genomes for</w:t>
      </w:r>
      <w:r w:rsidR="00A0351C">
        <w:t xml:space="preserve"> </w:t>
      </w:r>
      <w:r w:rsidR="00822C99">
        <w:t>orthogonal</w:t>
      </w:r>
      <w:r w:rsidR="000D61A1">
        <w:t xml:space="preserve"> biological organisms</w:t>
      </w:r>
      <w:r w:rsidR="00022F0E">
        <w:t>.</w:t>
      </w:r>
      <w:r w:rsidR="000D61A1">
        <w:t xml:space="preserve"> </w:t>
      </w:r>
    </w:p>
    <w:p w14:paraId="79BE9D6D" w14:textId="77777777" w:rsidR="00744D07" w:rsidRDefault="00744D07" w:rsidP="00A0351C">
      <w:pPr>
        <w:spacing w:line="480" w:lineRule="auto"/>
        <w:ind w:firstLine="720"/>
      </w:pPr>
      <w:r w:rsidRPr="00744D07">
        <w:rPr>
          <w:color w:val="FF0000"/>
        </w:rPr>
        <w:t>Explain what o</w:t>
      </w:r>
      <w:r w:rsidR="000D61A1" w:rsidRPr="00744D07">
        <w:rPr>
          <w:color w:val="FF0000"/>
        </w:rPr>
        <w:t>rthogonal Biological systems are…</w:t>
      </w:r>
      <w:r w:rsidR="00022F0E">
        <w:t xml:space="preserve"> </w:t>
      </w:r>
    </w:p>
    <w:p w14:paraId="157F16A8" w14:textId="20AA4A0C" w:rsidR="00022F0E" w:rsidRDefault="00022F0E" w:rsidP="00A0351C">
      <w:pPr>
        <w:spacing w:line="480" w:lineRule="auto"/>
        <w:ind w:firstLine="720"/>
      </w:pPr>
      <w:r>
        <w:t xml:space="preserve">Further research continues to bring orthogonality to additional cellular </w:t>
      </w:r>
      <w:r w:rsidR="000D61A1">
        <w:t>cycles such as rexod systems</w:t>
      </w:r>
      <w:r w:rsidR="00473A0F">
        <w:rPr>
          <w:highlight w:val="cyan"/>
        </w:rPr>
        <w:t>9</w:t>
      </w:r>
      <w:r>
        <w:t>. P</w:t>
      </w:r>
      <w:r w:rsidR="001C7BB2">
        <w:t>ossible uses</w:t>
      </w:r>
      <w:r>
        <w:t xml:space="preserve"> for orthogonality</w:t>
      </w:r>
      <w:r w:rsidR="00822C99">
        <w:t xml:space="preserve"> </w:t>
      </w:r>
      <w:r w:rsidR="001C7BB2">
        <w:t xml:space="preserve">in </w:t>
      </w:r>
      <w:r w:rsidR="0052364A">
        <w:t>biocontainment</w:t>
      </w:r>
      <w:r>
        <w:t xml:space="preserve"> can be found</w:t>
      </w:r>
      <w:r w:rsidR="0052364A">
        <w:t xml:space="preserve"> within the</w:t>
      </w:r>
      <w:r w:rsidR="00822C99">
        <w:t xml:space="preserve"> laboratory</w:t>
      </w:r>
      <w:r>
        <w:t xml:space="preserve">, in agricultural applications, and in the environment through reclamation projects. </w:t>
      </w:r>
      <w:r w:rsidR="00473A0F">
        <w:rPr>
          <w:highlight w:val="cyan"/>
        </w:rPr>
        <w:t>10</w:t>
      </w:r>
      <w:r>
        <w:t>,</w:t>
      </w:r>
      <w:r w:rsidR="00473A0F">
        <w:rPr>
          <w:highlight w:val="cyan"/>
        </w:rPr>
        <w:t>11</w:t>
      </w:r>
      <w:r>
        <w:t>,</w:t>
      </w:r>
      <w:r w:rsidR="00473A0F">
        <w:rPr>
          <w:highlight w:val="cyan"/>
        </w:rPr>
        <w:t>12</w:t>
      </w:r>
    </w:p>
    <w:p w14:paraId="5BE77299" w14:textId="47E3090C" w:rsidR="0052364A" w:rsidRDefault="00022F0E" w:rsidP="00FC4B78">
      <w:pPr>
        <w:spacing w:line="480" w:lineRule="auto"/>
        <w:ind w:firstLine="720"/>
      </w:pPr>
      <w:r>
        <w:t>The agricultural industry</w:t>
      </w:r>
      <w:r w:rsidR="0052364A">
        <w:t xml:space="preserve"> will likely be quick to adopt advances in orthogonal biology. This is a result of a number of factors: public relations and image rehabilitation by spinning the the new technology as an investment in ensuring that consumers are safe from the dangers of legacy era genetically modified organisms, as a result of increased investment and decreased patent competition resulting from consolidations, and also because these technologies may provide a safer tool in reaching previously unattainable increases in crop outputs to meet the ever growing world populations need for food.</w:t>
      </w:r>
    </w:p>
    <w:p w14:paraId="14A981A5" w14:textId="2ECD1FD1" w:rsidR="00FC4979" w:rsidRDefault="00EC61E2" w:rsidP="00FC4B78">
      <w:pPr>
        <w:spacing w:line="480" w:lineRule="auto"/>
        <w:ind w:firstLine="720"/>
      </w:pPr>
      <w:r>
        <w:t>The holy grail of</w:t>
      </w:r>
      <w:r w:rsidR="0052364A">
        <w:t xml:space="preserve"> agricultural biotechnology</w:t>
      </w:r>
      <w:r>
        <w:t xml:space="preserve"> as it has been </w:t>
      </w:r>
      <w:r w:rsidR="0052364A">
        <w:t>framed</w:t>
      </w:r>
      <w:r>
        <w:t>, involves the transfer of nitrogen fixation into cereals as a means of increasing crop production and eliminating the need for nitrogen based fertilizers that rely on the Haber-Bosh process. While such a technology has been a topic of intense research interest since the 1970’s it has remained elusive</w:t>
      </w:r>
      <w:r w:rsidR="00A71A19">
        <w:t xml:space="preserve"> and difficult to implement in higher plants. The advances of genomics seen in the last two decades brings this goal much closer to becoming a viable commercial possibility and if combined with the right biocontainment solutions could simultaneously solve concerns related to horizontal gene transfer present in today’s genetically modified crops</w:t>
      </w:r>
      <w:r>
        <w:t>.  While a</w:t>
      </w:r>
      <w:r w:rsidR="00E207A7">
        <w:t>ny</w:t>
      </w:r>
      <w:r>
        <w:t xml:space="preserve"> breakthrough in incorporating effective nitrogen fixation into cereals</w:t>
      </w:r>
      <w:r w:rsidR="00A71A19">
        <w:t xml:space="preserve"> is a</w:t>
      </w:r>
      <w:r>
        <w:t xml:space="preserve"> spectacular achievement, the </w:t>
      </w:r>
      <w:r w:rsidR="00A71A19">
        <w:t>first generation of</w:t>
      </w:r>
      <w:r w:rsidR="00E207A7">
        <w:t xml:space="preserve"> simple</w:t>
      </w:r>
      <w:r w:rsidR="00A71A19">
        <w:t xml:space="preserve"> products and methods that result</w:t>
      </w:r>
      <w:r w:rsidR="00E207A7">
        <w:t xml:space="preserve"> from</w:t>
      </w:r>
      <w:r w:rsidR="00C606E0">
        <w:t xml:space="preserve"> this research</w:t>
      </w:r>
      <w:r w:rsidR="00A71A19">
        <w:t xml:space="preserve"> will remain</w:t>
      </w:r>
      <w:r>
        <w:t xml:space="preserve"> </w:t>
      </w:r>
      <w:r w:rsidR="00A71A19">
        <w:t>dogged by the same potential hazards that</w:t>
      </w:r>
      <w:r>
        <w:t xml:space="preserve"> traditional genetically modified organisms </w:t>
      </w:r>
      <w:r w:rsidR="00A71A19">
        <w:t xml:space="preserve">present. </w:t>
      </w:r>
      <w:r w:rsidR="00C606E0">
        <w:t>Additional hazards likely remain u</w:t>
      </w:r>
      <w:r w:rsidR="00A71A19">
        <w:t>nidentified</w:t>
      </w:r>
      <w:r>
        <w:t xml:space="preserve"> </w:t>
      </w:r>
      <w:r w:rsidR="00C606E0">
        <w:t>or</w:t>
      </w:r>
      <w:r w:rsidR="00A71A19">
        <w:t xml:space="preserve"> unimagined </w:t>
      </w:r>
      <w:r w:rsidR="00C606E0">
        <w:t xml:space="preserve">and </w:t>
      </w:r>
      <w:r w:rsidR="00A71A19">
        <w:t xml:space="preserve">must be </w:t>
      </w:r>
      <w:r w:rsidR="00C606E0">
        <w:t xml:space="preserve">sought out to better understand the unintended consequences that might result by use of engineered bacteria </w:t>
      </w:r>
      <w:r>
        <w:t xml:space="preserve">on farms </w:t>
      </w:r>
      <w:r w:rsidR="00A71A19">
        <w:t>and fields around the world</w:t>
      </w:r>
      <w:r w:rsidR="00C606E0">
        <w:t>.</w:t>
      </w:r>
    </w:p>
    <w:p w14:paraId="560CE374" w14:textId="477ECEEE" w:rsidR="00C606E0" w:rsidRDefault="00FC4979" w:rsidP="00C606E0">
      <w:pPr>
        <w:spacing w:line="480" w:lineRule="auto"/>
        <w:ind w:firstLine="720"/>
      </w:pPr>
      <w:r>
        <w:t xml:space="preserve">A great variety of current research involving biocontainment concerns the use of orthogonal biological systems with recoded genomes and non-canonical amino acid incorporation. </w:t>
      </w:r>
    </w:p>
    <w:p w14:paraId="25B1D474" w14:textId="118698F3" w:rsidR="00FC4979" w:rsidRPr="00744D07" w:rsidRDefault="00C606E0" w:rsidP="009E1FFD">
      <w:pPr>
        <w:spacing w:line="480" w:lineRule="auto"/>
        <w:rPr>
          <w:color w:val="FF0000"/>
          <w:sz w:val="32"/>
        </w:rPr>
      </w:pPr>
      <w:r w:rsidRPr="00744D07">
        <w:rPr>
          <w:color w:val="FF0000"/>
          <w:sz w:val="32"/>
        </w:rPr>
        <w:t>INFO</w:t>
      </w:r>
      <w:r w:rsidR="009E1FFD" w:rsidRPr="00744D07">
        <w:rPr>
          <w:color w:val="FF0000"/>
          <w:sz w:val="32"/>
        </w:rPr>
        <w:t xml:space="preserve"> ABOUT ORTHOGONAL BIOLOGY</w:t>
      </w:r>
    </w:p>
    <w:p w14:paraId="523E0F1C" w14:textId="2DE93B13" w:rsidR="002F726B" w:rsidRPr="00744D07" w:rsidRDefault="009E1FFD" w:rsidP="009E1FFD">
      <w:pPr>
        <w:spacing w:line="480" w:lineRule="auto"/>
        <w:rPr>
          <w:color w:val="FF0000"/>
          <w:sz w:val="32"/>
        </w:rPr>
      </w:pPr>
      <w:r w:rsidRPr="00744D07">
        <w:rPr>
          <w:color w:val="FF0000"/>
          <w:sz w:val="32"/>
        </w:rPr>
        <w:t>INFO ABOUT tRNA/aaRS AND INCORPORATION OF NON-CANONICAL AMINO ACIDS</w:t>
      </w:r>
    </w:p>
    <w:p w14:paraId="72527476" w14:textId="028470D5" w:rsidR="00D8412D" w:rsidRDefault="003663EE" w:rsidP="00FC4B78">
      <w:pPr>
        <w:spacing w:line="480" w:lineRule="auto"/>
        <w:ind w:firstLine="720"/>
      </w:pPr>
      <w:r>
        <w:t xml:space="preserve">This </w:t>
      </w:r>
      <w:r w:rsidR="008928DF">
        <w:t>remainder of this research proposal will focus on the description</w:t>
      </w:r>
      <w:r w:rsidR="00FC4B78">
        <w:t xml:space="preserve"> an experiment with t</w:t>
      </w:r>
      <w:r w:rsidR="008928DF">
        <w:t>he potential to contribute to a deeper understanding of what role t-RNA nucleotide modifications could facilitate when designing for the biocontainment of plant endosymbionts whose genomes have had one more codons replaced at all locations across the entire genome</w:t>
      </w:r>
      <w:r w:rsidR="00FC4B78">
        <w:t>.</w:t>
      </w:r>
      <w:r w:rsidR="008928DF">
        <w:t xml:space="preserve"> </w:t>
      </w:r>
      <w:r w:rsidR="00FC4B78">
        <w:t xml:space="preserve"> </w:t>
      </w:r>
      <w:r w:rsidR="008928DF">
        <w:t xml:space="preserve">Additional information about t-RNA modification patterns </w:t>
      </w:r>
      <w:r w:rsidR="009E1FFD">
        <w:t xml:space="preserve">could find practical use in designing of synthetic t-RNA/aaRS pairs for non-canonical amino acid incorporation into specific locations in bacterial proteins.  </w:t>
      </w:r>
      <w:r w:rsidR="00FC4B78">
        <w:t>An additional goal of this proposal is to address a basic scientific question</w:t>
      </w:r>
      <w:r>
        <w:t xml:space="preserve"> in biology</w:t>
      </w:r>
      <w:r w:rsidR="00BF702D">
        <w:t xml:space="preserve">: Does the removal of specific </w:t>
      </w:r>
      <w:r w:rsidR="00E7294A">
        <w:t>codon</w:t>
      </w:r>
      <w:r w:rsidR="00BF702D">
        <w:t>s from an entire bacterial genome result in a correlated change</w:t>
      </w:r>
      <w:r w:rsidR="00E7294A">
        <w:t xml:space="preserve"> in </w:t>
      </w:r>
      <w:r w:rsidR="001C7BB2">
        <w:t>t-RNA modifications characterized by Liquid Chromatography-Mass Spectrometry</w:t>
      </w:r>
      <w:r w:rsidR="00E7294A">
        <w:t>.</w:t>
      </w:r>
      <w:r w:rsidR="00BF702D">
        <w:t xml:space="preserve"> Subsequent </w:t>
      </w:r>
      <w:r w:rsidR="0008761F">
        <w:t>investigations</w:t>
      </w:r>
      <w:r w:rsidR="00BF702D">
        <w:t xml:space="preserve"> would be directed toward</w:t>
      </w:r>
      <w:r w:rsidR="0008761F">
        <w:t xml:space="preserve"> measuring</w:t>
      </w:r>
      <w:r w:rsidR="00BF702D">
        <w:t xml:space="preserve"> </w:t>
      </w:r>
      <w:r w:rsidR="0008761F">
        <w:t>cellular stress response induced t</w:t>
      </w:r>
      <w:r w:rsidR="001C7BB2">
        <w:t>-</w:t>
      </w:r>
      <w:r w:rsidR="0008761F">
        <w:t>RNA modification in organisms where one or more codon possibilities has been eliminated from the entire genome. This question will</w:t>
      </w:r>
      <w:r w:rsidR="00E7294A">
        <w:t xml:space="preserve"> become </w:t>
      </w:r>
      <w:r w:rsidR="00FC4B78">
        <w:t xml:space="preserve">experimentally possible </w:t>
      </w:r>
      <w:r w:rsidR="00E7294A">
        <w:t>to address due</w:t>
      </w:r>
      <w:r w:rsidR="00FC4979">
        <w:t xml:space="preserve"> </w:t>
      </w:r>
      <w:r w:rsidR="00E7294A">
        <w:t xml:space="preserve">to </w:t>
      </w:r>
      <w:r w:rsidR="00FC4979">
        <w:t>recent work</w:t>
      </w:r>
      <w:r w:rsidR="00FC4B78">
        <w:t xml:space="preserve"> </w:t>
      </w:r>
      <w:r w:rsidR="0008761F">
        <w:t>in which every instance of</w:t>
      </w:r>
      <w:r w:rsidR="00FC4979">
        <w:t xml:space="preserve"> </w:t>
      </w:r>
      <w:r w:rsidR="0008761F">
        <w:t xml:space="preserve">7 </w:t>
      </w:r>
      <w:r w:rsidR="00FC4979">
        <w:t>codon</w:t>
      </w:r>
      <w:r w:rsidR="00096A7E">
        <w:t>s are to be</w:t>
      </w:r>
      <w:r w:rsidR="0008761F">
        <w:t xml:space="preserve"> removed from the genome.</w:t>
      </w:r>
      <w:r w:rsidR="00096A7E">
        <w:t xml:space="preserve"> Assembly of this </w:t>
      </w:r>
      <w:r w:rsidR="0008761F">
        <w:t xml:space="preserve">organism </w:t>
      </w:r>
      <w:r w:rsidR="00096A7E">
        <w:t>is currently in progress by George M. Church’s laboratory with funding from the Department of Energy</w:t>
      </w:r>
      <w:r w:rsidR="001C7BB2">
        <w:t xml:space="preserve"> (</w:t>
      </w:r>
      <w:r w:rsidR="00096A7E">
        <w:t>DOE)  and the Defense Advanced Research Projects Agency (DARPA).</w:t>
      </w:r>
      <w:r w:rsidR="001C7BB2">
        <w:t xml:space="preserve"> </w:t>
      </w:r>
      <w:r w:rsidR="00AD7947">
        <w:rPr>
          <w:b/>
          <w:highlight w:val="cyan"/>
        </w:rPr>
        <w:t>1</w:t>
      </w:r>
      <w:r w:rsidR="00473A0F">
        <w:rPr>
          <w:b/>
          <w:highlight w:val="cyan"/>
        </w:rPr>
        <w:t>3</w:t>
      </w:r>
      <w:r w:rsidR="001C7BB2">
        <w:t xml:space="preserve">  </w:t>
      </w:r>
    </w:p>
    <w:p w14:paraId="65797CD8" w14:textId="77777777" w:rsidR="00FC4B78" w:rsidRPr="00744D07" w:rsidRDefault="00FC4B78" w:rsidP="00C606E0">
      <w:pPr>
        <w:spacing w:line="480" w:lineRule="auto"/>
        <w:rPr>
          <w:sz w:val="28"/>
        </w:rPr>
      </w:pPr>
    </w:p>
    <w:p w14:paraId="2D47EBCF" w14:textId="08C382D0" w:rsidR="009E1FFD" w:rsidRPr="00744D07" w:rsidRDefault="00C606E0" w:rsidP="00C606E0">
      <w:pPr>
        <w:spacing w:line="480" w:lineRule="auto"/>
        <w:rPr>
          <w:color w:val="FF0000"/>
          <w:sz w:val="28"/>
        </w:rPr>
      </w:pPr>
      <w:r w:rsidRPr="00744D07">
        <w:rPr>
          <w:color w:val="FF0000"/>
          <w:sz w:val="28"/>
        </w:rPr>
        <w:t>INFO ABOUT tRNA NUCLEOTIDE</w:t>
      </w:r>
      <w:r w:rsidR="009E1FFD" w:rsidRPr="00744D07">
        <w:rPr>
          <w:color w:val="FF0000"/>
          <w:sz w:val="28"/>
        </w:rPr>
        <w:t xml:space="preserve"> MODIFICATIONS</w:t>
      </w:r>
      <w:r w:rsidR="00744D07" w:rsidRPr="00744D07">
        <w:rPr>
          <w:color w:val="FF0000"/>
          <w:sz w:val="28"/>
        </w:rPr>
        <w:t xml:space="preserve"> AND THEIR ROLE</w:t>
      </w:r>
    </w:p>
    <w:p w14:paraId="0621F0DA" w14:textId="4F3CDD75" w:rsidR="00562439" w:rsidRPr="00744D07" w:rsidRDefault="00562439" w:rsidP="00C606E0">
      <w:pPr>
        <w:spacing w:line="480" w:lineRule="auto"/>
        <w:rPr>
          <w:color w:val="FF0000"/>
          <w:sz w:val="28"/>
        </w:rPr>
      </w:pPr>
      <w:r w:rsidRPr="00744D07">
        <w:rPr>
          <w:color w:val="FF0000"/>
          <w:sz w:val="28"/>
        </w:rPr>
        <w:t>DESCRIPTION OF HYDROLYSIS OF tRNA, SEPARATION, LC/M</w:t>
      </w:r>
      <w:r w:rsidR="00744D07" w:rsidRPr="00744D07">
        <w:rPr>
          <w:color w:val="FF0000"/>
          <w:sz w:val="28"/>
        </w:rPr>
        <w:t>S</w:t>
      </w:r>
    </w:p>
    <w:p w14:paraId="4496154D" w14:textId="005756C7" w:rsidR="00562439" w:rsidRPr="00744D07" w:rsidRDefault="00744D07" w:rsidP="00C606E0">
      <w:pPr>
        <w:spacing w:line="480" w:lineRule="auto"/>
        <w:rPr>
          <w:color w:val="FF0000"/>
          <w:sz w:val="28"/>
        </w:rPr>
      </w:pPr>
      <w:r w:rsidRPr="00744D07">
        <w:rPr>
          <w:color w:val="FF0000"/>
          <w:sz w:val="28"/>
        </w:rPr>
        <w:t>EXPLAIN HOW LC/MS WORKS FOR A BIOLOGY STUDENT AUDIENCE</w:t>
      </w:r>
    </w:p>
    <w:p w14:paraId="13938CCD" w14:textId="445FE102" w:rsidR="009E1FFD" w:rsidRPr="00744D07" w:rsidRDefault="009E1FFD" w:rsidP="00C606E0">
      <w:pPr>
        <w:spacing w:line="480" w:lineRule="auto"/>
        <w:rPr>
          <w:color w:val="FF0000"/>
          <w:sz w:val="28"/>
        </w:rPr>
      </w:pPr>
      <w:r w:rsidRPr="00744D07">
        <w:rPr>
          <w:color w:val="FF0000"/>
          <w:sz w:val="28"/>
        </w:rPr>
        <w:t>CHARACTERIZATION OF tRNA MODIFICATIONS USING LC-MS</w:t>
      </w:r>
    </w:p>
    <w:p w14:paraId="324E6F89" w14:textId="77777777" w:rsidR="00744D07" w:rsidRDefault="00744D07" w:rsidP="00744D07">
      <w:pPr>
        <w:spacing w:line="480" w:lineRule="auto"/>
        <w:rPr>
          <w:color w:val="000000" w:themeColor="text1"/>
        </w:rPr>
      </w:pPr>
      <w:r>
        <w:rPr>
          <w:color w:val="000000" w:themeColor="text1"/>
        </w:rPr>
        <w:t>Hydrolysis of t-RNA in a solution containing sodium acetate, ZnCl2, nuclease P1, RNaseA, coformycin, tetrahydrouridine, deferoxamine mesylate, butylated hydroxytoluone, pMol[15N]5-2’-deoxyadenosine-([15N]5-dA).</w:t>
      </w:r>
    </w:p>
    <w:p w14:paraId="06199F08" w14:textId="77777777" w:rsidR="00744D07" w:rsidRDefault="00744D07" w:rsidP="00744D07">
      <w:pPr>
        <w:spacing w:line="480" w:lineRule="auto"/>
        <w:rPr>
          <w:color w:val="000000" w:themeColor="text1"/>
        </w:rPr>
      </w:pPr>
      <w:r>
        <w:rPr>
          <w:color w:val="000000" w:themeColor="text1"/>
        </w:rPr>
        <w:t>Incubate at 37 C for 3h.</w:t>
      </w:r>
    </w:p>
    <w:p w14:paraId="1FF6BB98" w14:textId="77777777" w:rsidR="00744D07" w:rsidRDefault="00744D07" w:rsidP="00744D07">
      <w:pPr>
        <w:spacing w:line="480" w:lineRule="auto"/>
        <w:rPr>
          <w:color w:val="000000" w:themeColor="text1"/>
        </w:rPr>
      </w:pPr>
      <w:r>
        <w:rPr>
          <w:color w:val="000000" w:themeColor="text1"/>
        </w:rPr>
        <w:t>Add augmented solution containing sodium acetate, alkaline phosphatase, phosphodiesterase I</w:t>
      </w:r>
    </w:p>
    <w:p w14:paraId="578766D9" w14:textId="77777777" w:rsidR="00744D07" w:rsidRDefault="00744D07" w:rsidP="00744D07">
      <w:pPr>
        <w:spacing w:line="480" w:lineRule="auto"/>
        <w:rPr>
          <w:color w:val="000000" w:themeColor="text1"/>
        </w:rPr>
      </w:pPr>
      <w:r>
        <w:rPr>
          <w:color w:val="000000" w:themeColor="text1"/>
        </w:rPr>
        <w:t>Incubate at 37 C overnight</w:t>
      </w:r>
    </w:p>
    <w:p w14:paraId="00816841" w14:textId="77777777" w:rsidR="00744D07" w:rsidRDefault="00744D07" w:rsidP="00744D07">
      <w:pPr>
        <w:spacing w:line="480" w:lineRule="auto"/>
        <w:rPr>
          <w:color w:val="000000" w:themeColor="text1"/>
        </w:rPr>
      </w:pPr>
      <w:r>
        <w:rPr>
          <w:color w:val="000000" w:themeColor="text1"/>
        </w:rPr>
        <w:t>Proteins removed by centrifugal ultrafiltration</w:t>
      </w:r>
    </w:p>
    <w:p w14:paraId="7F893BC8" w14:textId="77777777" w:rsidR="00744D07" w:rsidRDefault="00744D07" w:rsidP="00744D07">
      <w:pPr>
        <w:spacing w:line="480" w:lineRule="auto"/>
        <w:rPr>
          <w:color w:val="000000" w:themeColor="text1"/>
        </w:rPr>
      </w:pPr>
      <w:r>
        <w:rPr>
          <w:color w:val="000000" w:themeColor="text1"/>
        </w:rPr>
        <w:t>Aliquot of filtrate containing ribonucleosides is loaded on HPLC and ribonucleodies were eluted with a gradient of acetonitrile in ammonium acetate.</w:t>
      </w:r>
    </w:p>
    <w:p w14:paraId="4EC7745F" w14:textId="77777777" w:rsidR="00744D07" w:rsidRDefault="00744D07" w:rsidP="00744D07">
      <w:pPr>
        <w:spacing w:line="480" w:lineRule="auto"/>
        <w:rPr>
          <w:color w:val="000000" w:themeColor="text1"/>
        </w:rPr>
      </w:pPr>
      <w:r>
        <w:rPr>
          <w:color w:val="000000" w:themeColor="text1"/>
        </w:rPr>
        <w:t>HPLC column coupled ot an Agilent 6410 Triple Quadrupole LC/MS Mass Spectrometer.</w:t>
      </w:r>
    </w:p>
    <w:p w14:paraId="31A8C305" w14:textId="77777777" w:rsidR="00744D07" w:rsidRDefault="00744D07" w:rsidP="00C606E0">
      <w:pPr>
        <w:spacing w:line="480" w:lineRule="auto"/>
        <w:rPr>
          <w:color w:val="FF0000"/>
        </w:rPr>
      </w:pPr>
    </w:p>
    <w:p w14:paraId="54C84A89" w14:textId="77777777" w:rsidR="00744D07" w:rsidRDefault="00744D07" w:rsidP="00C606E0">
      <w:pPr>
        <w:spacing w:line="480" w:lineRule="auto"/>
        <w:rPr>
          <w:color w:val="FF0000"/>
        </w:rPr>
      </w:pPr>
    </w:p>
    <w:p w14:paraId="22E0446F" w14:textId="77777777" w:rsidR="00744D07" w:rsidRDefault="00744D07" w:rsidP="00C606E0">
      <w:pPr>
        <w:spacing w:line="480" w:lineRule="auto"/>
        <w:rPr>
          <w:color w:val="FF0000"/>
        </w:rPr>
      </w:pPr>
    </w:p>
    <w:p w14:paraId="10AE27ED" w14:textId="043E5B29" w:rsidR="00744D07" w:rsidRPr="00744D07" w:rsidRDefault="00744D07" w:rsidP="00C606E0">
      <w:pPr>
        <w:spacing w:line="480" w:lineRule="auto"/>
        <w:rPr>
          <w:color w:val="FF0000"/>
          <w:sz w:val="32"/>
        </w:rPr>
      </w:pPr>
      <w:r w:rsidRPr="00744D07">
        <w:rPr>
          <w:color w:val="FF0000"/>
          <w:sz w:val="32"/>
        </w:rPr>
        <w:t>LS-MS SECTION SOURCES</w:t>
      </w:r>
    </w:p>
    <w:p w14:paraId="5F748307" w14:textId="77777777" w:rsidR="00562439" w:rsidRDefault="00562439" w:rsidP="00562439">
      <w:pPr>
        <w:pStyle w:val="NormalWeb"/>
        <w:ind w:left="480" w:hanging="480"/>
      </w:pPr>
      <w:r>
        <w:t xml:space="preserve">Jinno, D., Kanemitsu, Y., Saitoh, K., Nankumo, S., Tsukamoto, H., Matsumoto, Y., … Tomioka, Y. (2017). Rapid and selective simultaneous quantitative analysis of modified nucleosides using multi-column liquid chromatography-tandem mass spectrometry. </w:t>
      </w:r>
      <w:r>
        <w:rPr>
          <w:i/>
          <w:iCs/>
        </w:rPr>
        <w:t>Journal of Analytical Science and Technology</w:t>
      </w:r>
      <w:r>
        <w:t>, 1–9. https://doi.org/10.1186/s40543-017-0110-4</w:t>
      </w:r>
    </w:p>
    <w:p w14:paraId="4C116783" w14:textId="77777777" w:rsidR="00744D07" w:rsidRDefault="00744D07" w:rsidP="00744D07">
      <w:pPr>
        <w:pStyle w:val="NormalWeb"/>
        <w:ind w:left="480" w:hanging="480"/>
      </w:pPr>
      <w:r>
        <w:t xml:space="preserve">Chan, C. T. Y., Deng, W., Li, F., Demott, M. S., Babu, I. R., Begley, T. J., &amp; Dedon, P. C. (2015). Highly Predictive Reprogramming of tRNA Modifications Is Linked to Selective Expression of Codon-Biased Genes. </w:t>
      </w:r>
      <w:r>
        <w:rPr>
          <w:i/>
          <w:iCs/>
        </w:rPr>
        <w:t>Chemical Research in Toxicology</w:t>
      </w:r>
      <w:r>
        <w:t xml:space="preserve">, </w:t>
      </w:r>
      <w:r>
        <w:rPr>
          <w:i/>
          <w:iCs/>
        </w:rPr>
        <w:t>28</w:t>
      </w:r>
      <w:r>
        <w:t>(5), 978–988. https://doi.org/10.1021/acs.chemrestox.5b00004</w:t>
      </w:r>
    </w:p>
    <w:p w14:paraId="7577F10B" w14:textId="77777777" w:rsidR="00744D07" w:rsidRDefault="00744D07" w:rsidP="00744D07">
      <w:pPr>
        <w:pStyle w:val="NormalWeb"/>
        <w:ind w:left="480" w:hanging="480"/>
      </w:pPr>
      <w:r>
        <w:t>Lyko, F., &amp; Tuorto, F. (2016). Genome recoding by tRNA modifications. https://doi.org/10.1098/rsob.160287</w:t>
      </w:r>
    </w:p>
    <w:p w14:paraId="495595B1" w14:textId="77777777" w:rsidR="00744D07" w:rsidRDefault="00744D07" w:rsidP="00744D07">
      <w:pPr>
        <w:pStyle w:val="NormalWeb"/>
        <w:ind w:left="480" w:hanging="480"/>
      </w:pPr>
      <w:r>
        <w:t xml:space="preserve">Ero, R., Peil, L., Liiv, A., &amp; Remme, J. (2008). Identification of pseudouridine methyltransferase in Escherichia coli. </w:t>
      </w:r>
      <w:r>
        <w:rPr>
          <w:i/>
          <w:iCs/>
        </w:rPr>
        <w:t>RNA (New York, N.Y.)</w:t>
      </w:r>
      <w:r>
        <w:t xml:space="preserve">, </w:t>
      </w:r>
      <w:r>
        <w:rPr>
          <w:i/>
          <w:iCs/>
        </w:rPr>
        <w:t>14</w:t>
      </w:r>
      <w:r>
        <w:t>(10), 2223–2233. https://doi.org/10.1261/rna.1186608</w:t>
      </w:r>
    </w:p>
    <w:p w14:paraId="42E50E57" w14:textId="77777777" w:rsidR="00744D07" w:rsidRDefault="00744D07" w:rsidP="00744D07">
      <w:pPr>
        <w:pStyle w:val="NormalWeb"/>
        <w:ind w:left="480" w:hanging="480"/>
      </w:pPr>
      <w:r>
        <w:t xml:space="preserve">Giessing, A. M. B., &amp; Kirpekar, F. (2012). Mass spectrometry in the biology of RNA and its modifications. </w:t>
      </w:r>
      <w:r>
        <w:rPr>
          <w:i/>
          <w:iCs/>
        </w:rPr>
        <w:t>Journal of Proteomics</w:t>
      </w:r>
      <w:r>
        <w:t xml:space="preserve">, </w:t>
      </w:r>
      <w:r>
        <w:rPr>
          <w:i/>
          <w:iCs/>
        </w:rPr>
        <w:t>75</w:t>
      </w:r>
      <w:r>
        <w:t>(12), 3434–3449. https://doi.org/10.1016/j.jprot.2012.01.032</w:t>
      </w:r>
    </w:p>
    <w:p w14:paraId="4799B940" w14:textId="77777777" w:rsidR="00744D07" w:rsidRDefault="00744D07" w:rsidP="00744D07">
      <w:pPr>
        <w:pStyle w:val="NormalWeb"/>
        <w:ind w:left="480" w:hanging="480"/>
      </w:pPr>
      <w:r>
        <w:t xml:space="preserve">Chan, C. T. Y., Deng, W., Li, F., Demott, M. S., Babu, I. R., Begley, T. J., &amp; Dedon, P. C. (2015). Highly Predictive Reprogramming of tRNA Modifications Is Linked to Selective Expression of Codon-Biased Genes. </w:t>
      </w:r>
      <w:r>
        <w:rPr>
          <w:i/>
          <w:iCs/>
        </w:rPr>
        <w:t>Chemical Research in Toxicology</w:t>
      </w:r>
      <w:r>
        <w:t xml:space="preserve">, </w:t>
      </w:r>
      <w:r>
        <w:rPr>
          <w:i/>
          <w:iCs/>
        </w:rPr>
        <w:t>28</w:t>
      </w:r>
      <w:r>
        <w:t>(5), 978–988. https://doi.org/10.1021/acs.chemrestox.5b00004</w:t>
      </w:r>
    </w:p>
    <w:p w14:paraId="77B1777A" w14:textId="77777777" w:rsidR="00C606E0" w:rsidRDefault="00C606E0" w:rsidP="00C606E0">
      <w:pPr>
        <w:spacing w:line="480" w:lineRule="auto"/>
        <w:rPr>
          <w:color w:val="FF0000"/>
        </w:rPr>
      </w:pPr>
    </w:p>
    <w:p w14:paraId="6E416C5E" w14:textId="77777777" w:rsidR="00C606E0" w:rsidRPr="00C606E0" w:rsidRDefault="00C606E0" w:rsidP="00C606E0">
      <w:pPr>
        <w:spacing w:line="480" w:lineRule="auto"/>
        <w:rPr>
          <w:color w:val="FF0000"/>
        </w:rPr>
      </w:pPr>
    </w:p>
    <w:p w14:paraId="4EB19087" w14:textId="77777777" w:rsidR="00AD7947" w:rsidRDefault="00AD7947" w:rsidP="00FC4B78">
      <w:pPr>
        <w:spacing w:line="480" w:lineRule="auto"/>
        <w:ind w:firstLine="720"/>
      </w:pPr>
    </w:p>
    <w:p w14:paraId="0D026DCD" w14:textId="77777777" w:rsidR="00AD7947" w:rsidRDefault="00AD7947" w:rsidP="00FC4B78">
      <w:pPr>
        <w:spacing w:line="480" w:lineRule="auto"/>
        <w:ind w:firstLine="720"/>
      </w:pPr>
    </w:p>
    <w:p w14:paraId="313B1463" w14:textId="77777777" w:rsidR="00AD7947" w:rsidRDefault="00AD7947" w:rsidP="00FC4B78">
      <w:pPr>
        <w:spacing w:line="480" w:lineRule="auto"/>
        <w:ind w:firstLine="720"/>
      </w:pPr>
    </w:p>
    <w:p w14:paraId="4289D54F" w14:textId="77777777" w:rsidR="00AD7947" w:rsidRDefault="00AD7947" w:rsidP="00FC4B78">
      <w:pPr>
        <w:spacing w:line="480" w:lineRule="auto"/>
        <w:ind w:firstLine="720"/>
      </w:pPr>
    </w:p>
    <w:p w14:paraId="3CC90C25" w14:textId="77777777" w:rsidR="00AD7947" w:rsidRDefault="00AD7947" w:rsidP="00FC4B78">
      <w:pPr>
        <w:spacing w:line="480" w:lineRule="auto"/>
        <w:ind w:firstLine="720"/>
      </w:pPr>
    </w:p>
    <w:p w14:paraId="07E3B61F" w14:textId="77777777" w:rsidR="00AD7947" w:rsidRDefault="00AD7947" w:rsidP="00FC4B78">
      <w:pPr>
        <w:spacing w:line="480" w:lineRule="auto"/>
        <w:ind w:firstLine="720"/>
      </w:pPr>
    </w:p>
    <w:p w14:paraId="45CE6C19" w14:textId="77777777" w:rsidR="00AD7947" w:rsidRDefault="00AD7947" w:rsidP="00FC4B78">
      <w:pPr>
        <w:spacing w:line="480" w:lineRule="auto"/>
        <w:ind w:firstLine="720"/>
      </w:pPr>
    </w:p>
    <w:p w14:paraId="1B15D4B3" w14:textId="77777777" w:rsidR="00AD7947" w:rsidRDefault="00AD7947" w:rsidP="00FC4B78">
      <w:pPr>
        <w:spacing w:line="480" w:lineRule="auto"/>
        <w:ind w:firstLine="720"/>
      </w:pPr>
    </w:p>
    <w:p w14:paraId="2F8D93CC" w14:textId="77777777" w:rsidR="00AD7947" w:rsidRDefault="00AD7947" w:rsidP="00FC4B78">
      <w:pPr>
        <w:spacing w:line="480" w:lineRule="auto"/>
        <w:ind w:firstLine="720"/>
      </w:pPr>
    </w:p>
    <w:p w14:paraId="656BB87F" w14:textId="77777777" w:rsidR="00AD7947" w:rsidRDefault="00AD7947" w:rsidP="00FC4B78">
      <w:pPr>
        <w:spacing w:line="480" w:lineRule="auto"/>
        <w:ind w:firstLine="720"/>
      </w:pPr>
    </w:p>
    <w:p w14:paraId="0DD053F5" w14:textId="2A58167C" w:rsidR="00AD7947" w:rsidRDefault="00AD7947" w:rsidP="00AD7947">
      <w:pPr>
        <w:pStyle w:val="ListParagraph"/>
        <w:numPr>
          <w:ilvl w:val="0"/>
          <w:numId w:val="1"/>
        </w:numPr>
        <w:spacing w:line="480" w:lineRule="auto"/>
      </w:pPr>
      <w:r w:rsidRPr="00AD7947">
        <w:t>http://www.nobelprize.org/nobel_prizes/peace/laureates/1970/borlaug-lecture.html</w:t>
      </w:r>
    </w:p>
    <w:p w14:paraId="66806309" w14:textId="10635B48" w:rsidR="00AD7947" w:rsidRDefault="004B3109" w:rsidP="0060618A">
      <w:pPr>
        <w:pStyle w:val="ListParagraph"/>
        <w:numPr>
          <w:ilvl w:val="0"/>
          <w:numId w:val="1"/>
        </w:numPr>
        <w:spacing w:line="480" w:lineRule="auto"/>
      </w:pPr>
      <w:hyperlink r:id="rId5" w:history="1">
        <w:r w:rsidR="00AD7947" w:rsidRPr="00821DCE">
          <w:rPr>
            <w:rStyle w:val="Hyperlink"/>
          </w:rPr>
          <w:t>https://www.scientificamerican.com/article/battle-over-science-funding-gets-fiercer-in-u-s-congress/</w:t>
        </w:r>
      </w:hyperlink>
    </w:p>
    <w:p w14:paraId="316AD1D4" w14:textId="5D967A4B" w:rsidR="00204639" w:rsidRDefault="00204639" w:rsidP="00204639">
      <w:pPr>
        <w:pStyle w:val="ListParagraph"/>
        <w:numPr>
          <w:ilvl w:val="0"/>
          <w:numId w:val="1"/>
        </w:numPr>
        <w:spacing w:line="480" w:lineRule="auto"/>
      </w:pPr>
      <w:r w:rsidRPr="00204639">
        <w:t>https://www.brookings.edu/wp-content/uploads/2016/06/Mann-and-Corrad_Party-Polarization-and-Campaign-Finance.pdf</w:t>
      </w:r>
    </w:p>
    <w:p w14:paraId="3327228E" w14:textId="5D7C23D7" w:rsidR="00C06793" w:rsidRDefault="004B3109" w:rsidP="00C06793">
      <w:pPr>
        <w:pStyle w:val="ListParagraph"/>
        <w:numPr>
          <w:ilvl w:val="0"/>
          <w:numId w:val="1"/>
        </w:numPr>
        <w:spacing w:line="480" w:lineRule="auto"/>
      </w:pPr>
      <w:hyperlink r:id="rId6" w:history="1">
        <w:r w:rsidR="00C06793" w:rsidRPr="00821DCE">
          <w:rPr>
            <w:rStyle w:val="Hyperlink"/>
          </w:rPr>
          <w:t>https://www.ft.com/content/9cd9f054-1a0a-11e7-a266-12672483791a</w:t>
        </w:r>
      </w:hyperlink>
    </w:p>
    <w:p w14:paraId="000F6799" w14:textId="4FBB7617" w:rsidR="00DE699E" w:rsidRDefault="00DE699E" w:rsidP="00DE699E">
      <w:pPr>
        <w:pStyle w:val="NormalWeb"/>
        <w:numPr>
          <w:ilvl w:val="0"/>
          <w:numId w:val="1"/>
        </w:numPr>
      </w:pPr>
      <w:r>
        <w:t xml:space="preserve">Ioannidis, J. P. A. (2005). Why most published research findings are false. </w:t>
      </w:r>
      <w:r>
        <w:rPr>
          <w:i/>
          <w:iCs/>
        </w:rPr>
        <w:t>PLoS Medicine</w:t>
      </w:r>
      <w:r>
        <w:t xml:space="preserve">, </w:t>
      </w:r>
      <w:r>
        <w:rPr>
          <w:i/>
          <w:iCs/>
        </w:rPr>
        <w:t>2</w:t>
      </w:r>
      <w:r>
        <w:t xml:space="preserve">(8), 0696–0701. </w:t>
      </w:r>
      <w:hyperlink r:id="rId7" w:history="1">
        <w:r w:rsidR="00473A0F" w:rsidRPr="00821DCE">
          <w:rPr>
            <w:rStyle w:val="Hyperlink"/>
          </w:rPr>
          <w:t>https://doi.org/10.1371/journal.pmed.0020124</w:t>
        </w:r>
      </w:hyperlink>
    </w:p>
    <w:p w14:paraId="3DA52D9B" w14:textId="412208F3" w:rsidR="00473A0F" w:rsidRDefault="00473A0F" w:rsidP="00473A0F">
      <w:pPr>
        <w:pStyle w:val="NormalWeb"/>
        <w:numPr>
          <w:ilvl w:val="0"/>
          <w:numId w:val="1"/>
        </w:numPr>
      </w:pPr>
      <w:r>
        <w:t xml:space="preserve">Gannon, F. (2008). The end of optimism? </w:t>
      </w:r>
      <w:r>
        <w:rPr>
          <w:i/>
          <w:iCs/>
        </w:rPr>
        <w:t>EMBO Reports</w:t>
      </w:r>
      <w:r>
        <w:t xml:space="preserve">, </w:t>
      </w:r>
      <w:r>
        <w:rPr>
          <w:i/>
          <w:iCs/>
        </w:rPr>
        <w:t>9</w:t>
      </w:r>
      <w:r>
        <w:t>(2), 111–111. https://doi.org/10.1038/sj.embor.7401165</w:t>
      </w:r>
    </w:p>
    <w:p w14:paraId="52BDAA80" w14:textId="51DAF5D9" w:rsidR="00022F0E" w:rsidRDefault="00022F0E" w:rsidP="00022F0E">
      <w:pPr>
        <w:pStyle w:val="NormalWeb"/>
        <w:numPr>
          <w:ilvl w:val="0"/>
          <w:numId w:val="1"/>
        </w:numPr>
      </w:pPr>
      <w:r>
        <w:t xml:space="preserve">Ji, D. Bin, Wang, L., Liu, W. J., Hou, S. H., &amp; Zhao, K. Z. B. (2013). Synthesis of NAD analogs to develop bioorthogonal redox system. </w:t>
      </w:r>
      <w:r>
        <w:rPr>
          <w:i/>
          <w:iCs/>
        </w:rPr>
        <w:t>Science China Chemistry</w:t>
      </w:r>
      <w:r>
        <w:t xml:space="preserve">, </w:t>
      </w:r>
      <w:r>
        <w:rPr>
          <w:i/>
          <w:iCs/>
        </w:rPr>
        <w:t>56</w:t>
      </w:r>
      <w:r>
        <w:t xml:space="preserve">(3), 296–300. </w:t>
      </w:r>
      <w:hyperlink r:id="rId8" w:history="1">
        <w:r w:rsidRPr="00821DCE">
          <w:rPr>
            <w:rStyle w:val="Hyperlink"/>
          </w:rPr>
          <w:t>https://doi.org/10.1007/s11426-012-4815-3</w:t>
        </w:r>
      </w:hyperlink>
    </w:p>
    <w:p w14:paraId="654E8040" w14:textId="3B89FBC9" w:rsidR="00022F0E" w:rsidRDefault="00022F0E" w:rsidP="00022F0E">
      <w:pPr>
        <w:pStyle w:val="NormalWeb"/>
        <w:numPr>
          <w:ilvl w:val="0"/>
          <w:numId w:val="1"/>
        </w:numPr>
      </w:pPr>
      <w:r>
        <w:t xml:space="preserve">Wright, O., Stan, G. B., &amp; Ellis, T. (2013). Building-in biosafety for synthetic biology. </w:t>
      </w:r>
      <w:r>
        <w:rPr>
          <w:i/>
          <w:iCs/>
        </w:rPr>
        <w:t>Microbiology (United Kingdom)</w:t>
      </w:r>
      <w:r>
        <w:t xml:space="preserve">, </w:t>
      </w:r>
      <w:r>
        <w:rPr>
          <w:i/>
          <w:iCs/>
        </w:rPr>
        <w:t>159</w:t>
      </w:r>
      <w:r>
        <w:t xml:space="preserve">(PART7), 1221–1235. </w:t>
      </w:r>
      <w:hyperlink r:id="rId9" w:history="1">
        <w:r w:rsidRPr="00821DCE">
          <w:rPr>
            <w:rStyle w:val="Hyperlink"/>
          </w:rPr>
          <w:t>https://doi.org/10.1099/mic.0.066308-0</w:t>
        </w:r>
      </w:hyperlink>
    </w:p>
    <w:p w14:paraId="0A50555C" w14:textId="77777777" w:rsidR="00022F0E" w:rsidRDefault="00022F0E" w:rsidP="00022F0E">
      <w:pPr>
        <w:pStyle w:val="NormalWeb"/>
        <w:numPr>
          <w:ilvl w:val="0"/>
          <w:numId w:val="1"/>
        </w:numPr>
      </w:pPr>
      <w:r>
        <w:t xml:space="preserve">Schmidt, M. (2010). Xenobiology: A new form of life as the ultimate biosafety tool. </w:t>
      </w:r>
      <w:r>
        <w:rPr>
          <w:i/>
          <w:iCs/>
        </w:rPr>
        <w:t>BioEssays</w:t>
      </w:r>
      <w:r>
        <w:t xml:space="preserve">, </w:t>
      </w:r>
      <w:r>
        <w:rPr>
          <w:i/>
          <w:iCs/>
        </w:rPr>
        <w:t>32</w:t>
      </w:r>
      <w:r>
        <w:t>(4), 322–331. https://doi.org/10.1002/bies.200900147</w:t>
      </w:r>
    </w:p>
    <w:p w14:paraId="44694BB8" w14:textId="7C18EE7C" w:rsidR="00022F0E" w:rsidRDefault="00022F0E" w:rsidP="00022F0E">
      <w:pPr>
        <w:pStyle w:val="NormalWeb"/>
        <w:numPr>
          <w:ilvl w:val="0"/>
          <w:numId w:val="1"/>
        </w:numPr>
      </w:pPr>
      <w:r>
        <w:t xml:space="preserve">Schmidt, M., &amp; De Lorenzo, V. (2012). Synthetic constructs in/for the environment: Managing the interplay between natural and engineered Biology. </w:t>
      </w:r>
      <w:r>
        <w:rPr>
          <w:i/>
          <w:iCs/>
        </w:rPr>
        <w:t>FEBS Letters</w:t>
      </w:r>
      <w:r>
        <w:t xml:space="preserve">, </w:t>
      </w:r>
      <w:r>
        <w:rPr>
          <w:i/>
          <w:iCs/>
        </w:rPr>
        <w:t>586</w:t>
      </w:r>
      <w:r>
        <w:t>(15), 2199–2206. https://doi.org/10.1016/j.febslet.2012.02.022</w:t>
      </w:r>
    </w:p>
    <w:p w14:paraId="35B5FF4A" w14:textId="4D72B3D2" w:rsidR="001C7BB2" w:rsidRDefault="001C7BB2" w:rsidP="001C7BB2">
      <w:pPr>
        <w:pStyle w:val="NormalWeb"/>
        <w:numPr>
          <w:ilvl w:val="0"/>
          <w:numId w:val="1"/>
        </w:numPr>
      </w:pPr>
      <w:r>
        <w:t xml:space="preserve">Ostrov, N., Landon, M., Guell, M., Kuznetsov, G., Teramoto, J., Cervantes, N., … Church, G. M. (2016). Design, synthesis, and testing toward a 57-codon genome. </w:t>
      </w:r>
      <w:r>
        <w:rPr>
          <w:i/>
          <w:iCs/>
        </w:rPr>
        <w:t>Science</w:t>
      </w:r>
      <w:r>
        <w:t xml:space="preserve">, </w:t>
      </w:r>
      <w:r>
        <w:rPr>
          <w:i/>
          <w:iCs/>
        </w:rPr>
        <w:t>353</w:t>
      </w:r>
      <w:r>
        <w:t xml:space="preserve">(6301), 819–822. </w:t>
      </w:r>
      <w:hyperlink r:id="rId10" w:history="1">
        <w:r w:rsidR="00022F0E" w:rsidRPr="00821DCE">
          <w:rPr>
            <w:rStyle w:val="Hyperlink"/>
          </w:rPr>
          <w:t>https://doi.org/10.1126/science.aaf3639</w:t>
        </w:r>
      </w:hyperlink>
    </w:p>
    <w:p w14:paraId="0DE0E4D3" w14:textId="77777777" w:rsidR="00022F0E" w:rsidRDefault="00022F0E" w:rsidP="00022F0E">
      <w:pPr>
        <w:pStyle w:val="NormalWeb"/>
        <w:ind w:left="420"/>
      </w:pPr>
    </w:p>
    <w:p w14:paraId="15173618" w14:textId="49966B64" w:rsidR="00FC4B78" w:rsidRDefault="00FC4B78" w:rsidP="00FC4B78">
      <w:pPr>
        <w:spacing w:line="480" w:lineRule="auto"/>
        <w:ind w:firstLine="720"/>
      </w:pPr>
    </w:p>
    <w:p w14:paraId="6DA9A14C" w14:textId="4FCE9A5B" w:rsidR="000A2794" w:rsidRDefault="000A2794" w:rsidP="00260307">
      <w:pPr>
        <w:spacing w:line="480" w:lineRule="auto"/>
        <w:ind w:firstLine="720"/>
      </w:pPr>
    </w:p>
    <w:sectPr w:rsidR="000A2794" w:rsidSect="00FC4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5825"/>
    <w:multiLevelType w:val="hybridMultilevel"/>
    <w:tmpl w:val="868C42DA"/>
    <w:lvl w:ilvl="0" w:tplc="222EA9E8">
      <w:start w:val="1"/>
      <w:numFmt w:val="decimal"/>
      <w:lvlText w:val="%1)"/>
      <w:lvlJc w:val="left"/>
      <w:pPr>
        <w:ind w:left="420" w:hanging="360"/>
      </w:pPr>
      <w:rPr>
        <w:rFonts w:asciiTheme="minorHAnsi" w:eastAsiaTheme="minorHAnsi" w:hAnsiTheme="minorHAnsi" w:cstheme="minorBid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81"/>
    <w:rsid w:val="00016B8B"/>
    <w:rsid w:val="00022F0E"/>
    <w:rsid w:val="000775AC"/>
    <w:rsid w:val="000803A8"/>
    <w:rsid w:val="0008761F"/>
    <w:rsid w:val="00096A7E"/>
    <w:rsid w:val="000A2794"/>
    <w:rsid w:val="000A37D9"/>
    <w:rsid w:val="000D61A1"/>
    <w:rsid w:val="000E1BCE"/>
    <w:rsid w:val="000E1F67"/>
    <w:rsid w:val="000F1D2D"/>
    <w:rsid w:val="00135F75"/>
    <w:rsid w:val="001474DD"/>
    <w:rsid w:val="0017632C"/>
    <w:rsid w:val="00176C52"/>
    <w:rsid w:val="001C7BB2"/>
    <w:rsid w:val="00204639"/>
    <w:rsid w:val="00232A9F"/>
    <w:rsid w:val="00260307"/>
    <w:rsid w:val="00264F21"/>
    <w:rsid w:val="00297FA6"/>
    <w:rsid w:val="002E56C3"/>
    <w:rsid w:val="002F726B"/>
    <w:rsid w:val="003663EE"/>
    <w:rsid w:val="003C6257"/>
    <w:rsid w:val="003D1758"/>
    <w:rsid w:val="003E26B8"/>
    <w:rsid w:val="00403CF4"/>
    <w:rsid w:val="00411A32"/>
    <w:rsid w:val="0043565F"/>
    <w:rsid w:val="00473A0F"/>
    <w:rsid w:val="0047595F"/>
    <w:rsid w:val="00494CAE"/>
    <w:rsid w:val="004B14FB"/>
    <w:rsid w:val="004B3109"/>
    <w:rsid w:val="004E4BF5"/>
    <w:rsid w:val="0052364A"/>
    <w:rsid w:val="00562439"/>
    <w:rsid w:val="005A2B16"/>
    <w:rsid w:val="005A7718"/>
    <w:rsid w:val="0060618A"/>
    <w:rsid w:val="00606C81"/>
    <w:rsid w:val="00621819"/>
    <w:rsid w:val="00634C74"/>
    <w:rsid w:val="00665B43"/>
    <w:rsid w:val="0067261C"/>
    <w:rsid w:val="006B0275"/>
    <w:rsid w:val="007253D7"/>
    <w:rsid w:val="00730F70"/>
    <w:rsid w:val="00744D07"/>
    <w:rsid w:val="00782ACD"/>
    <w:rsid w:val="007B10AE"/>
    <w:rsid w:val="00822C99"/>
    <w:rsid w:val="00836E53"/>
    <w:rsid w:val="00870938"/>
    <w:rsid w:val="00874658"/>
    <w:rsid w:val="00877EEC"/>
    <w:rsid w:val="008928DF"/>
    <w:rsid w:val="008F1AEB"/>
    <w:rsid w:val="008F3F73"/>
    <w:rsid w:val="00916320"/>
    <w:rsid w:val="00935D2B"/>
    <w:rsid w:val="00943982"/>
    <w:rsid w:val="00990890"/>
    <w:rsid w:val="009A0E26"/>
    <w:rsid w:val="009E1FFD"/>
    <w:rsid w:val="009E3085"/>
    <w:rsid w:val="00A0351C"/>
    <w:rsid w:val="00A07AED"/>
    <w:rsid w:val="00A71A19"/>
    <w:rsid w:val="00AB3050"/>
    <w:rsid w:val="00AD7947"/>
    <w:rsid w:val="00B00B91"/>
    <w:rsid w:val="00B1224A"/>
    <w:rsid w:val="00B15238"/>
    <w:rsid w:val="00B35433"/>
    <w:rsid w:val="00B5159D"/>
    <w:rsid w:val="00B758F0"/>
    <w:rsid w:val="00B767CD"/>
    <w:rsid w:val="00BB651E"/>
    <w:rsid w:val="00BF702D"/>
    <w:rsid w:val="00C06793"/>
    <w:rsid w:val="00C27AEE"/>
    <w:rsid w:val="00C606E0"/>
    <w:rsid w:val="00C65C21"/>
    <w:rsid w:val="00CB2937"/>
    <w:rsid w:val="00CB5395"/>
    <w:rsid w:val="00CF3F5D"/>
    <w:rsid w:val="00D8412D"/>
    <w:rsid w:val="00DB35BF"/>
    <w:rsid w:val="00DD57CC"/>
    <w:rsid w:val="00DE699E"/>
    <w:rsid w:val="00DF5A3E"/>
    <w:rsid w:val="00E207A7"/>
    <w:rsid w:val="00E259CA"/>
    <w:rsid w:val="00E4779C"/>
    <w:rsid w:val="00E726F2"/>
    <w:rsid w:val="00E7294A"/>
    <w:rsid w:val="00E90AAF"/>
    <w:rsid w:val="00EB2B50"/>
    <w:rsid w:val="00EC61E2"/>
    <w:rsid w:val="00EF3406"/>
    <w:rsid w:val="00F17452"/>
    <w:rsid w:val="00F31C56"/>
    <w:rsid w:val="00F43996"/>
    <w:rsid w:val="00F6785B"/>
    <w:rsid w:val="00F870DC"/>
    <w:rsid w:val="00F91B7E"/>
    <w:rsid w:val="00FB3E73"/>
    <w:rsid w:val="00FB5B86"/>
    <w:rsid w:val="00FC4336"/>
    <w:rsid w:val="00FC4979"/>
    <w:rsid w:val="00FC4B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2832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BB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0618A"/>
    <w:pPr>
      <w:ind w:left="720"/>
      <w:contextualSpacing/>
    </w:pPr>
  </w:style>
  <w:style w:type="character" w:styleId="Hyperlink">
    <w:name w:val="Hyperlink"/>
    <w:basedOn w:val="DefaultParagraphFont"/>
    <w:uiPriority w:val="99"/>
    <w:unhideWhenUsed/>
    <w:rsid w:val="00A0351C"/>
    <w:rPr>
      <w:color w:val="0563C1" w:themeColor="hyperlink"/>
      <w:u w:val="single"/>
    </w:rPr>
  </w:style>
  <w:style w:type="character" w:styleId="FollowedHyperlink">
    <w:name w:val="FollowedHyperlink"/>
    <w:basedOn w:val="DefaultParagraphFont"/>
    <w:uiPriority w:val="99"/>
    <w:semiHidden/>
    <w:unhideWhenUsed/>
    <w:rsid w:val="00AD7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1841">
      <w:bodyDiv w:val="1"/>
      <w:marLeft w:val="0"/>
      <w:marRight w:val="0"/>
      <w:marTop w:val="0"/>
      <w:marBottom w:val="0"/>
      <w:divBdr>
        <w:top w:val="none" w:sz="0" w:space="0" w:color="auto"/>
        <w:left w:val="none" w:sz="0" w:space="0" w:color="auto"/>
        <w:bottom w:val="none" w:sz="0" w:space="0" w:color="auto"/>
        <w:right w:val="none" w:sz="0" w:space="0" w:color="auto"/>
      </w:divBdr>
    </w:div>
    <w:div w:id="172427082">
      <w:bodyDiv w:val="1"/>
      <w:marLeft w:val="0"/>
      <w:marRight w:val="0"/>
      <w:marTop w:val="0"/>
      <w:marBottom w:val="0"/>
      <w:divBdr>
        <w:top w:val="none" w:sz="0" w:space="0" w:color="auto"/>
        <w:left w:val="none" w:sz="0" w:space="0" w:color="auto"/>
        <w:bottom w:val="none" w:sz="0" w:space="0" w:color="auto"/>
        <w:right w:val="none" w:sz="0" w:space="0" w:color="auto"/>
      </w:divBdr>
    </w:div>
    <w:div w:id="326788546">
      <w:bodyDiv w:val="1"/>
      <w:marLeft w:val="0"/>
      <w:marRight w:val="0"/>
      <w:marTop w:val="0"/>
      <w:marBottom w:val="0"/>
      <w:divBdr>
        <w:top w:val="none" w:sz="0" w:space="0" w:color="auto"/>
        <w:left w:val="none" w:sz="0" w:space="0" w:color="auto"/>
        <w:bottom w:val="none" w:sz="0" w:space="0" w:color="auto"/>
        <w:right w:val="none" w:sz="0" w:space="0" w:color="auto"/>
      </w:divBdr>
    </w:div>
    <w:div w:id="364794933">
      <w:bodyDiv w:val="1"/>
      <w:marLeft w:val="0"/>
      <w:marRight w:val="0"/>
      <w:marTop w:val="0"/>
      <w:marBottom w:val="0"/>
      <w:divBdr>
        <w:top w:val="none" w:sz="0" w:space="0" w:color="auto"/>
        <w:left w:val="none" w:sz="0" w:space="0" w:color="auto"/>
        <w:bottom w:val="none" w:sz="0" w:space="0" w:color="auto"/>
        <w:right w:val="none" w:sz="0" w:space="0" w:color="auto"/>
      </w:divBdr>
    </w:div>
    <w:div w:id="451901901">
      <w:bodyDiv w:val="1"/>
      <w:marLeft w:val="0"/>
      <w:marRight w:val="0"/>
      <w:marTop w:val="0"/>
      <w:marBottom w:val="0"/>
      <w:divBdr>
        <w:top w:val="none" w:sz="0" w:space="0" w:color="auto"/>
        <w:left w:val="none" w:sz="0" w:space="0" w:color="auto"/>
        <w:bottom w:val="none" w:sz="0" w:space="0" w:color="auto"/>
        <w:right w:val="none" w:sz="0" w:space="0" w:color="auto"/>
      </w:divBdr>
    </w:div>
    <w:div w:id="690495130">
      <w:bodyDiv w:val="1"/>
      <w:marLeft w:val="0"/>
      <w:marRight w:val="0"/>
      <w:marTop w:val="0"/>
      <w:marBottom w:val="0"/>
      <w:divBdr>
        <w:top w:val="none" w:sz="0" w:space="0" w:color="auto"/>
        <w:left w:val="none" w:sz="0" w:space="0" w:color="auto"/>
        <w:bottom w:val="none" w:sz="0" w:space="0" w:color="auto"/>
        <w:right w:val="none" w:sz="0" w:space="0" w:color="auto"/>
      </w:divBdr>
    </w:div>
    <w:div w:id="1013725814">
      <w:bodyDiv w:val="1"/>
      <w:marLeft w:val="0"/>
      <w:marRight w:val="0"/>
      <w:marTop w:val="0"/>
      <w:marBottom w:val="0"/>
      <w:divBdr>
        <w:top w:val="none" w:sz="0" w:space="0" w:color="auto"/>
        <w:left w:val="none" w:sz="0" w:space="0" w:color="auto"/>
        <w:bottom w:val="none" w:sz="0" w:space="0" w:color="auto"/>
        <w:right w:val="none" w:sz="0" w:space="0" w:color="auto"/>
      </w:divBdr>
    </w:div>
    <w:div w:id="1630747171">
      <w:bodyDiv w:val="1"/>
      <w:marLeft w:val="0"/>
      <w:marRight w:val="0"/>
      <w:marTop w:val="0"/>
      <w:marBottom w:val="0"/>
      <w:divBdr>
        <w:top w:val="none" w:sz="0" w:space="0" w:color="auto"/>
        <w:left w:val="none" w:sz="0" w:space="0" w:color="auto"/>
        <w:bottom w:val="none" w:sz="0" w:space="0" w:color="auto"/>
        <w:right w:val="none" w:sz="0" w:space="0" w:color="auto"/>
      </w:divBdr>
    </w:div>
    <w:div w:id="1631666563">
      <w:bodyDiv w:val="1"/>
      <w:marLeft w:val="0"/>
      <w:marRight w:val="0"/>
      <w:marTop w:val="0"/>
      <w:marBottom w:val="0"/>
      <w:divBdr>
        <w:top w:val="none" w:sz="0" w:space="0" w:color="auto"/>
        <w:left w:val="none" w:sz="0" w:space="0" w:color="auto"/>
        <w:bottom w:val="none" w:sz="0" w:space="0" w:color="auto"/>
        <w:right w:val="none" w:sz="0" w:space="0" w:color="auto"/>
      </w:divBdr>
    </w:div>
    <w:div w:id="1721782699">
      <w:bodyDiv w:val="1"/>
      <w:marLeft w:val="0"/>
      <w:marRight w:val="0"/>
      <w:marTop w:val="0"/>
      <w:marBottom w:val="0"/>
      <w:divBdr>
        <w:top w:val="none" w:sz="0" w:space="0" w:color="auto"/>
        <w:left w:val="none" w:sz="0" w:space="0" w:color="auto"/>
        <w:bottom w:val="none" w:sz="0" w:space="0" w:color="auto"/>
        <w:right w:val="none" w:sz="0" w:space="0" w:color="auto"/>
      </w:divBdr>
    </w:div>
    <w:div w:id="1888953809">
      <w:bodyDiv w:val="1"/>
      <w:marLeft w:val="0"/>
      <w:marRight w:val="0"/>
      <w:marTop w:val="0"/>
      <w:marBottom w:val="0"/>
      <w:divBdr>
        <w:top w:val="none" w:sz="0" w:space="0" w:color="auto"/>
        <w:left w:val="none" w:sz="0" w:space="0" w:color="auto"/>
        <w:bottom w:val="none" w:sz="0" w:space="0" w:color="auto"/>
        <w:right w:val="none" w:sz="0" w:space="0" w:color="auto"/>
      </w:divBdr>
    </w:div>
    <w:div w:id="1938828106">
      <w:bodyDiv w:val="1"/>
      <w:marLeft w:val="0"/>
      <w:marRight w:val="0"/>
      <w:marTop w:val="0"/>
      <w:marBottom w:val="0"/>
      <w:divBdr>
        <w:top w:val="none" w:sz="0" w:space="0" w:color="auto"/>
        <w:left w:val="none" w:sz="0" w:space="0" w:color="auto"/>
        <w:bottom w:val="none" w:sz="0" w:space="0" w:color="auto"/>
        <w:right w:val="none" w:sz="0" w:space="0" w:color="auto"/>
      </w:divBdr>
    </w:div>
    <w:div w:id="2053844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cientificamerican.com/article/battle-over-science-funding-gets-fiercer-in-u-s-congress/" TargetMode="External"/><Relationship Id="rId6" Type="http://schemas.openxmlformats.org/officeDocument/2006/relationships/hyperlink" Target="https://www.ft.com/content/9cd9f054-1a0a-11e7-a266-12672483791a" TargetMode="External"/><Relationship Id="rId7" Type="http://schemas.openxmlformats.org/officeDocument/2006/relationships/hyperlink" Target="https://doi.org/10.1371/journal.pmed.0020124" TargetMode="External"/><Relationship Id="rId8" Type="http://schemas.openxmlformats.org/officeDocument/2006/relationships/hyperlink" Target="https://doi.org/10.1007/s11426-012-4815-3" TargetMode="External"/><Relationship Id="rId9" Type="http://schemas.openxmlformats.org/officeDocument/2006/relationships/hyperlink" Target="https://doi.org/10.1099/mic.0.066308-0" TargetMode="External"/><Relationship Id="rId10" Type="http://schemas.openxmlformats.org/officeDocument/2006/relationships/hyperlink" Target="https://doi.org/10.1126/science.aaf3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10</Pages>
  <Words>2452</Words>
  <Characters>13982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Leath</dc:creator>
  <cp:keywords/>
  <dc:description/>
  <cp:lastModifiedBy>Alexander Leath</cp:lastModifiedBy>
  <cp:revision>32</cp:revision>
  <dcterms:created xsi:type="dcterms:W3CDTF">2017-03-29T04:05:00Z</dcterms:created>
  <dcterms:modified xsi:type="dcterms:W3CDTF">2017-04-30T13:02:00Z</dcterms:modified>
</cp:coreProperties>
</file>