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80" w:rsidRPr="00814980" w:rsidRDefault="00814980" w:rsidP="00814980">
      <w:pPr>
        <w:spacing w:after="0"/>
      </w:pPr>
      <w:bookmarkStart w:id="0" w:name="_GoBack"/>
      <w:bookmarkEnd w:id="0"/>
      <w:r w:rsidRPr="00814980">
        <w:t xml:space="preserve">Nate </w:t>
      </w:r>
      <w:proofErr w:type="spellStart"/>
      <w:r w:rsidRPr="00814980">
        <w:t>Stearrett</w:t>
      </w:r>
      <w:proofErr w:type="spellEnd"/>
    </w:p>
    <w:p w:rsidR="00B949DC" w:rsidRPr="00DE09F7" w:rsidRDefault="00A02941" w:rsidP="00DE09F7">
      <w:pPr>
        <w:spacing w:after="0"/>
        <w:jc w:val="center"/>
        <w:rPr>
          <w:b/>
          <w:sz w:val="28"/>
          <w:szCs w:val="28"/>
        </w:rPr>
      </w:pPr>
      <w:r>
        <w:rPr>
          <w:b/>
          <w:sz w:val="28"/>
          <w:szCs w:val="28"/>
        </w:rPr>
        <w:t xml:space="preserve">Measurement of the </w:t>
      </w:r>
      <w:r w:rsidR="00DE09F7" w:rsidRPr="00DE09F7">
        <w:rPr>
          <w:b/>
          <w:sz w:val="28"/>
          <w:szCs w:val="28"/>
        </w:rPr>
        <w:t>expression of the ALOX15 gene</w:t>
      </w:r>
    </w:p>
    <w:p w:rsidR="009C2878" w:rsidRDefault="00665F14" w:rsidP="00DE09F7">
      <w:pPr>
        <w:spacing w:after="0"/>
        <w:jc w:val="center"/>
        <w:rPr>
          <w:b/>
          <w:sz w:val="28"/>
          <w:szCs w:val="28"/>
        </w:rPr>
      </w:pPr>
      <w:r>
        <w:rPr>
          <w:b/>
          <w:sz w:val="28"/>
          <w:szCs w:val="28"/>
        </w:rPr>
        <w:t xml:space="preserve">in </w:t>
      </w:r>
      <w:r w:rsidR="00DE09F7" w:rsidRPr="00DE09F7">
        <w:rPr>
          <w:b/>
          <w:sz w:val="28"/>
          <w:szCs w:val="28"/>
        </w:rPr>
        <w:t>wounds under</w:t>
      </w:r>
      <w:r>
        <w:rPr>
          <w:b/>
          <w:sz w:val="28"/>
          <w:szCs w:val="28"/>
        </w:rPr>
        <w:t>going</w:t>
      </w:r>
      <w:r w:rsidR="00DE09F7" w:rsidRPr="00DE09F7">
        <w:rPr>
          <w:b/>
          <w:sz w:val="28"/>
          <w:szCs w:val="28"/>
        </w:rPr>
        <w:t xml:space="preserve"> negative pressure wound therapy</w:t>
      </w:r>
    </w:p>
    <w:p w:rsidR="00451520" w:rsidRDefault="00DE09F7" w:rsidP="00AA0B90">
      <w:pPr>
        <w:spacing w:before="240" w:after="0"/>
        <w:rPr>
          <w:b/>
        </w:rPr>
      </w:pPr>
      <w:r w:rsidRPr="00DE09F7">
        <w:rPr>
          <w:b/>
        </w:rPr>
        <w:t>I. Introduction</w:t>
      </w:r>
    </w:p>
    <w:p w:rsidR="007B0E28" w:rsidRDefault="00C7103A" w:rsidP="00AA0B90">
      <w:pPr>
        <w:spacing w:before="240" w:after="0"/>
      </w:pPr>
      <w:r>
        <w:rPr>
          <w:noProof/>
        </w:rPr>
        <w:drawing>
          <wp:anchor distT="0" distB="0" distL="114300" distR="114300" simplePos="0" relativeHeight="251671552" behindDoc="0" locked="0" layoutInCell="1" allowOverlap="1" wp14:anchorId="22F6C7C9" wp14:editId="705B2C07">
            <wp:simplePos x="0" y="0"/>
            <wp:positionH relativeFrom="page">
              <wp:posOffset>4579620</wp:posOffset>
            </wp:positionH>
            <wp:positionV relativeFrom="paragraph">
              <wp:posOffset>160655</wp:posOffset>
            </wp:positionV>
            <wp:extent cx="3115067" cy="2209800"/>
            <wp:effectExtent l="0" t="0" r="9525" b="0"/>
            <wp:wrapSquare wrapText="bothSides"/>
            <wp:docPr id="11" name="Picture 11" descr="https://i.gyazo.com/b85524c407a021de78e01c09969c5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b85524c407a021de78e01c09969c55c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067"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E2B">
        <w:t xml:space="preserve">Chronic </w:t>
      </w:r>
      <w:r w:rsidR="00636A73">
        <w:t xml:space="preserve">non-healing </w:t>
      </w:r>
      <w:r w:rsidR="00450E2B">
        <w:t xml:space="preserve">wounds affect 6 million people in the United States. </w:t>
      </w:r>
      <w:r w:rsidR="007C1CF0">
        <w:rPr>
          <w:vertAlign w:val="superscript"/>
        </w:rPr>
        <w:t>[1</w:t>
      </w:r>
      <w:r w:rsidR="00BB5D8F" w:rsidRPr="00450E2B">
        <w:rPr>
          <w:vertAlign w:val="superscript"/>
        </w:rPr>
        <w:t>]</w:t>
      </w:r>
      <w:r w:rsidR="00BB5D8F">
        <w:t xml:space="preserve"> The</w:t>
      </w:r>
      <w:r w:rsidR="007B0E28">
        <w:t xml:space="preserve"> normal stages of wound healing are hemostasis, inflammation, proliferation, and remodeling (Table 1</w:t>
      </w:r>
      <w:proofErr w:type="gramStart"/>
      <w:r w:rsidR="007B0E28">
        <w:t>).</w:t>
      </w:r>
      <w:r w:rsidR="007C1CF0">
        <w:rPr>
          <w:vertAlign w:val="superscript"/>
        </w:rPr>
        <w:t>[</w:t>
      </w:r>
      <w:proofErr w:type="gramEnd"/>
      <w:r w:rsidR="007C1CF0">
        <w:rPr>
          <w:vertAlign w:val="superscript"/>
        </w:rPr>
        <w:t>2</w:t>
      </w:r>
      <w:r w:rsidR="00E3081D">
        <w:rPr>
          <w:vertAlign w:val="superscript"/>
        </w:rPr>
        <w:t>]</w:t>
      </w:r>
      <w:r w:rsidR="007B0E28">
        <w:t xml:space="preserve"> </w:t>
      </w:r>
      <w:r w:rsidR="000951A8">
        <w:t xml:space="preserve">The transition to each stage of wound healing is directed by molecular signaling molecules and biosynthesis of certain signals. </w:t>
      </w:r>
      <w:r w:rsidR="007B0E28">
        <w:t>A chronic wound is</w:t>
      </w:r>
      <w:r w:rsidR="00687637">
        <w:t xml:space="preserve"> characterized as being stuck in the inflammation phase of wound healing.</w:t>
      </w:r>
      <w:r w:rsidR="00047E9F">
        <w:t xml:space="preserve"> </w:t>
      </w:r>
      <w:r w:rsidR="007C1CF0">
        <w:rPr>
          <w:vertAlign w:val="superscript"/>
        </w:rPr>
        <w:t>[3</w:t>
      </w:r>
      <w:r w:rsidR="005D3A3D" w:rsidRPr="00047E9F">
        <w:rPr>
          <w:vertAlign w:val="superscript"/>
        </w:rPr>
        <w:t>]</w:t>
      </w:r>
      <w:r w:rsidR="005D3A3D">
        <w:t xml:space="preserve"> When the inflammatory phase continues without resolution, neutrophils build up at the site and cause cellular damage</w:t>
      </w:r>
      <w:r w:rsidR="00FF14E9">
        <w:t xml:space="preserve"> via release of toxic chemicals </w:t>
      </w:r>
      <w:r w:rsidR="00763C67">
        <w:t>and inflammatory cytokines</w:t>
      </w:r>
      <w:r w:rsidR="005D3A3D">
        <w:t>.</w:t>
      </w:r>
      <w:r w:rsidR="004A4482">
        <w:t xml:space="preserve"> </w:t>
      </w:r>
      <w:r w:rsidR="007C1CF0">
        <w:rPr>
          <w:vertAlign w:val="superscript"/>
        </w:rPr>
        <w:t>[3</w:t>
      </w:r>
      <w:r w:rsidR="004A4482" w:rsidRPr="004A4482">
        <w:rPr>
          <w:vertAlign w:val="superscript"/>
        </w:rPr>
        <w:t>]</w:t>
      </w:r>
      <w:r w:rsidR="005D3A3D">
        <w:t xml:space="preserve"> This results in prolonged inflammation which can cause chronic </w:t>
      </w:r>
      <w:r w:rsidR="00A31C4A">
        <w:t xml:space="preserve">non-healing </w:t>
      </w:r>
      <w:r w:rsidR="005D3A3D">
        <w:t>wounds.</w:t>
      </w:r>
    </w:p>
    <w:p w:rsidR="005C709B" w:rsidRPr="00450E2B" w:rsidRDefault="005F0B89" w:rsidP="00AA0B90">
      <w:pPr>
        <w:spacing w:before="240" w:after="0"/>
      </w:pPr>
      <w:r w:rsidRPr="00A608E0">
        <w:rPr>
          <w:b/>
          <w:noProof/>
        </w:rPr>
        <mc:AlternateContent>
          <mc:Choice Requires="wps">
            <w:drawing>
              <wp:anchor distT="45720" distB="45720" distL="114300" distR="114300" simplePos="0" relativeHeight="251669504" behindDoc="0" locked="0" layoutInCell="1" allowOverlap="1" wp14:anchorId="701166C7" wp14:editId="66A0DA33">
                <wp:simplePos x="0" y="0"/>
                <wp:positionH relativeFrom="column">
                  <wp:posOffset>4213860</wp:posOffset>
                </wp:positionH>
                <wp:positionV relativeFrom="paragraph">
                  <wp:posOffset>1891030</wp:posOffset>
                </wp:positionV>
                <wp:extent cx="2360930" cy="16383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solidFill>
                            <a:srgbClr val="000000"/>
                          </a:solidFill>
                          <a:miter lim="800000"/>
                          <a:headEnd/>
                          <a:tailEnd/>
                        </a:ln>
                      </wps:spPr>
                      <wps:txbx>
                        <w:txbxContent>
                          <w:p w:rsidR="00A608E0" w:rsidRPr="009B787F" w:rsidRDefault="00A608E0">
                            <w:pPr>
                              <w:rPr>
                                <w:sz w:val="18"/>
                                <w:szCs w:val="18"/>
                                <w:vertAlign w:val="superscript"/>
                              </w:rPr>
                            </w:pPr>
                            <w:r w:rsidRPr="00C476D9">
                              <w:rPr>
                                <w:b/>
                                <w:sz w:val="18"/>
                                <w:szCs w:val="18"/>
                              </w:rPr>
                              <w:t>Figure 1</w:t>
                            </w:r>
                            <w:r w:rsidRPr="00C476D9">
                              <w:rPr>
                                <w:sz w:val="18"/>
                                <w:szCs w:val="18"/>
                              </w:rPr>
                              <w:t xml:space="preserve">: PMNs at the site of the wound switch to lipoxin production instead of leukotrienes. </w:t>
                            </w:r>
                            <w:r w:rsidR="00DD7237">
                              <w:rPr>
                                <w:sz w:val="18"/>
                                <w:szCs w:val="18"/>
                              </w:rPr>
                              <w:t xml:space="preserve"> This is due to an upregulation of 15-lipoxygenase. </w:t>
                            </w:r>
                            <w:r w:rsidRPr="00C476D9">
                              <w:rPr>
                                <w:sz w:val="18"/>
                                <w:szCs w:val="18"/>
                              </w:rPr>
                              <w:t xml:space="preserve">The lipoxins </w:t>
                            </w:r>
                            <w:r w:rsidR="00F80212" w:rsidRPr="00C476D9">
                              <w:rPr>
                                <w:sz w:val="18"/>
                                <w:szCs w:val="18"/>
                              </w:rPr>
                              <w:t>stimulate macrophages to migrate to the wound site and phagocytose the apoptotic PMNs at the site. Lipoxins also suppress PMN infiltration from the blood vessels by modifying the permeability of the vessel walls. This aids in wound resolution and a return to homeostasis at the site of the wound.</w:t>
                            </w:r>
                            <w:r w:rsidR="009B787F">
                              <w:rPr>
                                <w:sz w:val="18"/>
                                <w:szCs w:val="18"/>
                              </w:rPr>
                              <w:t xml:space="preserve"> </w:t>
                            </w:r>
                            <w:r w:rsidR="0062019A">
                              <w:rPr>
                                <w:sz w:val="20"/>
                                <w:szCs w:val="18"/>
                                <w:vertAlign w:val="superscript"/>
                              </w:rPr>
                              <w:t>[10</w:t>
                            </w:r>
                            <w:r w:rsidR="009B787F" w:rsidRPr="009B787F">
                              <w:rPr>
                                <w:sz w:val="20"/>
                                <w:szCs w:val="18"/>
                                <w:vertAlign w:val="superscript"/>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1166C7" id="_x0000_t202" coordsize="21600,21600" o:spt="202" path="m,l,21600r21600,l21600,xe">
                <v:stroke joinstyle="miter"/>
                <v:path gradientshapeok="t" o:connecttype="rect"/>
              </v:shapetype>
              <v:shape id="Text Box 2" o:spid="_x0000_s1026" type="#_x0000_t202" style="position:absolute;margin-left:331.8pt;margin-top:148.9pt;width:185.9pt;height:129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">
                <v:textbox>
                  <w:txbxContent>
                    <w:p w:rsidR="00A608E0" w:rsidRPr="009B787F" w:rsidRDefault="00A608E0">
                      <w:pPr>
                        <w:rPr>
                          <w:sz w:val="18"/>
                          <w:szCs w:val="18"/>
                          <w:vertAlign w:val="superscript"/>
                        </w:rPr>
                      </w:pPr>
                      <w:r w:rsidRPr="00C476D9">
                        <w:rPr>
                          <w:b/>
                          <w:sz w:val="18"/>
                          <w:szCs w:val="18"/>
                        </w:rPr>
                        <w:t>Figure 1</w:t>
                      </w:r>
                      <w:r w:rsidRPr="00C476D9">
                        <w:rPr>
                          <w:sz w:val="18"/>
                          <w:szCs w:val="18"/>
                        </w:rPr>
                        <w:t xml:space="preserve">: PMNs at the site of the wound switch to lipoxin production instead of leukotrienes. </w:t>
                      </w:r>
                      <w:r w:rsidR="00DD7237">
                        <w:rPr>
                          <w:sz w:val="18"/>
                          <w:szCs w:val="18"/>
                        </w:rPr>
                        <w:t xml:space="preserve"> This is due to an upregulation of 15-lipoxygenase. </w:t>
                      </w:r>
                      <w:r w:rsidRPr="00C476D9">
                        <w:rPr>
                          <w:sz w:val="18"/>
                          <w:szCs w:val="18"/>
                        </w:rPr>
                        <w:t xml:space="preserve">The lipoxins </w:t>
                      </w:r>
                      <w:r w:rsidR="00F80212" w:rsidRPr="00C476D9">
                        <w:rPr>
                          <w:sz w:val="18"/>
                          <w:szCs w:val="18"/>
                        </w:rPr>
                        <w:t>stimulate macrophages to migrate to the wound site and phagocytose the apoptotic PMNs at the site. Lipoxins also suppress PMN infiltration from the blood vessels by modifying the permeability of the vessel walls. This aids in wound resolution and a return to homeostasis at the site of the wound.</w:t>
                      </w:r>
                      <w:r w:rsidR="009B787F">
                        <w:rPr>
                          <w:sz w:val="18"/>
                          <w:szCs w:val="18"/>
                        </w:rPr>
                        <w:t xml:space="preserve"> </w:t>
                      </w:r>
                      <w:r w:rsidR="0062019A">
                        <w:rPr>
                          <w:sz w:val="20"/>
                          <w:szCs w:val="18"/>
                          <w:vertAlign w:val="superscript"/>
                        </w:rPr>
                        <w:t>[10</w:t>
                      </w:r>
                      <w:r w:rsidR="009B787F" w:rsidRPr="009B787F">
                        <w:rPr>
                          <w:sz w:val="20"/>
                          <w:szCs w:val="18"/>
                          <w:vertAlign w:val="superscript"/>
                        </w:rPr>
                        <w:t>]</w:t>
                      </w:r>
                    </w:p>
                  </w:txbxContent>
                </v:textbox>
                <w10:wrap type="square"/>
              </v:shape>
            </w:pict>
          </mc:Fallback>
        </mc:AlternateContent>
      </w:r>
      <w:r w:rsidR="00665F14" w:rsidRPr="007B0E28">
        <w:rPr>
          <w:noProof/>
        </w:rPr>
        <mc:AlternateContent>
          <mc:Choice Requires="wps">
            <w:drawing>
              <wp:anchor distT="45720" distB="45720" distL="114300" distR="114300" simplePos="0" relativeHeight="251673600" behindDoc="0" locked="0" layoutInCell="1" allowOverlap="1" wp14:anchorId="2114CFC4" wp14:editId="36735664">
                <wp:simplePos x="0" y="0"/>
                <wp:positionH relativeFrom="column">
                  <wp:posOffset>4159885</wp:posOffset>
                </wp:positionH>
                <wp:positionV relativeFrom="paragraph">
                  <wp:posOffset>426720</wp:posOffset>
                </wp:positionV>
                <wp:extent cx="2360930" cy="37338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3380"/>
                        </a:xfrm>
                        <a:prstGeom prst="rect">
                          <a:avLst/>
                        </a:prstGeom>
                        <a:solidFill>
                          <a:srgbClr val="FFFFFF"/>
                        </a:solidFill>
                        <a:ln w="9525">
                          <a:solidFill>
                            <a:srgbClr val="000000"/>
                          </a:solidFill>
                          <a:miter lim="800000"/>
                          <a:headEnd/>
                          <a:tailEnd/>
                        </a:ln>
                      </wps:spPr>
                      <wps:txbx>
                        <w:txbxContent>
                          <w:p w:rsidR="007B0E28" w:rsidRPr="0012096F" w:rsidRDefault="007B0E28" w:rsidP="007B0E28">
                            <w:pPr>
                              <w:rPr>
                                <w:sz w:val="20"/>
                                <w:szCs w:val="18"/>
                                <w:vertAlign w:val="superscript"/>
                              </w:rPr>
                            </w:pPr>
                            <w:r w:rsidRPr="0012096F">
                              <w:rPr>
                                <w:b/>
                                <w:sz w:val="18"/>
                                <w:szCs w:val="18"/>
                              </w:rPr>
                              <w:t>Table 1</w:t>
                            </w:r>
                            <w:r w:rsidRPr="0012096F">
                              <w:rPr>
                                <w:sz w:val="18"/>
                                <w:szCs w:val="18"/>
                              </w:rPr>
                              <w:t>: The stages of wound healing and the cell</w:t>
                            </w:r>
                            <w:r w:rsidR="003B4D68">
                              <w:rPr>
                                <w:sz w:val="18"/>
                                <w:szCs w:val="18"/>
                              </w:rPr>
                              <w:t>ular events associated with each stage</w:t>
                            </w:r>
                            <w:r w:rsidRPr="0012096F">
                              <w:rPr>
                                <w:sz w:val="18"/>
                                <w:szCs w:val="18"/>
                              </w:rPr>
                              <w:t>.</w:t>
                            </w:r>
                            <w:r>
                              <w:rPr>
                                <w:sz w:val="18"/>
                                <w:szCs w:val="18"/>
                              </w:rPr>
                              <w:t xml:space="preserve"> </w:t>
                            </w:r>
                            <w:r w:rsidR="0062019A">
                              <w:rPr>
                                <w:sz w:val="20"/>
                                <w:szCs w:val="18"/>
                                <w:vertAlign w:val="superscript"/>
                              </w:rPr>
                              <w:t>[2</w:t>
                            </w:r>
                            <w:r>
                              <w:rPr>
                                <w:sz w:val="20"/>
                                <w:szCs w:val="18"/>
                                <w:vertAlign w:val="superscript"/>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14CFC4" id="_x0000_s1027" type="#_x0000_t202" style="position:absolute;margin-left:327.55pt;margin-top:33.6pt;width:185.9pt;height:29.4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">
                <v:textbox>
                  <w:txbxContent>
                    <w:p w:rsidR="007B0E28" w:rsidRPr="0012096F" w:rsidRDefault="007B0E28" w:rsidP="007B0E28">
                      <w:pPr>
                        <w:rPr>
                          <w:sz w:val="20"/>
                          <w:szCs w:val="18"/>
                          <w:vertAlign w:val="superscript"/>
                        </w:rPr>
                      </w:pPr>
                      <w:r w:rsidRPr="0012096F">
                        <w:rPr>
                          <w:b/>
                          <w:sz w:val="18"/>
                          <w:szCs w:val="18"/>
                        </w:rPr>
                        <w:t>Table 1</w:t>
                      </w:r>
                      <w:r w:rsidRPr="0012096F">
                        <w:rPr>
                          <w:sz w:val="18"/>
                          <w:szCs w:val="18"/>
                        </w:rPr>
                        <w:t>: The stages of wound healing and the cell</w:t>
                      </w:r>
                      <w:r w:rsidR="003B4D68">
                        <w:rPr>
                          <w:sz w:val="18"/>
                          <w:szCs w:val="18"/>
                        </w:rPr>
                        <w:t>ular events associated with each stage</w:t>
                      </w:r>
                      <w:r w:rsidRPr="0012096F">
                        <w:rPr>
                          <w:sz w:val="18"/>
                          <w:szCs w:val="18"/>
                        </w:rPr>
                        <w:t>.</w:t>
                      </w:r>
                      <w:r>
                        <w:rPr>
                          <w:sz w:val="18"/>
                          <w:szCs w:val="18"/>
                        </w:rPr>
                        <w:t xml:space="preserve"> </w:t>
                      </w:r>
                      <w:r w:rsidR="0062019A">
                        <w:rPr>
                          <w:sz w:val="20"/>
                          <w:szCs w:val="18"/>
                          <w:vertAlign w:val="superscript"/>
                        </w:rPr>
                        <w:t>[2</w:t>
                      </w:r>
                      <w:r>
                        <w:rPr>
                          <w:sz w:val="20"/>
                          <w:szCs w:val="18"/>
                          <w:vertAlign w:val="superscript"/>
                        </w:rPr>
                        <w:t>]</w:t>
                      </w:r>
                    </w:p>
                  </w:txbxContent>
                </v:textbox>
                <w10:wrap type="square"/>
              </v:shape>
            </w:pict>
          </mc:Fallback>
        </mc:AlternateContent>
      </w:r>
      <w:r w:rsidR="00F77A26">
        <w:rPr>
          <w:noProof/>
        </w:rPr>
        <w:drawing>
          <wp:anchor distT="0" distB="0" distL="114300" distR="114300" simplePos="0" relativeHeight="251667456" behindDoc="0" locked="0" layoutInCell="1" allowOverlap="1" wp14:anchorId="20C18403" wp14:editId="3AF22BF3">
            <wp:simplePos x="0" y="0"/>
            <wp:positionH relativeFrom="margin">
              <wp:align>left</wp:align>
            </wp:positionH>
            <wp:positionV relativeFrom="paragraph">
              <wp:posOffset>1866900</wp:posOffset>
            </wp:positionV>
            <wp:extent cx="4159885" cy="1503045"/>
            <wp:effectExtent l="0" t="0" r="0" b="1905"/>
            <wp:wrapSquare wrapText="bothSides"/>
            <wp:docPr id="8" name="Picture 8" descr="https://i.gyazo.com/55370c5f874c1d6a834ddef70d2d3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gyazo.com/55370c5f874c1d6a834ddef70d2d3ec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88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99F">
        <w:t>Li</w:t>
      </w:r>
      <w:r w:rsidR="00983544">
        <w:t>poxins</w:t>
      </w:r>
      <w:r w:rsidR="00ED699F">
        <w:t xml:space="preserve">, derived from </w:t>
      </w:r>
      <w:r w:rsidR="006B1AD4">
        <w:t>arachidonic acid</w:t>
      </w:r>
      <w:r w:rsidR="00ED699F">
        <w:t>,</w:t>
      </w:r>
      <w:r w:rsidR="000951A8">
        <w:t xml:space="preserve"> aid in </w:t>
      </w:r>
      <w:r w:rsidR="00ED699F">
        <w:t>ending the inflammatory</w:t>
      </w:r>
      <w:r w:rsidR="0040351C">
        <w:t xml:space="preserve"> phase of wound healing</w:t>
      </w:r>
      <w:r w:rsidR="00ED699F">
        <w:t xml:space="preserve">. </w:t>
      </w:r>
      <w:r w:rsidR="0062019A">
        <w:rPr>
          <w:vertAlign w:val="superscript"/>
        </w:rPr>
        <w:t>[4</w:t>
      </w:r>
      <w:r w:rsidR="00ED699F" w:rsidRPr="00B9417F">
        <w:rPr>
          <w:vertAlign w:val="superscript"/>
        </w:rPr>
        <w:t>]</w:t>
      </w:r>
      <w:r w:rsidR="00ED699F">
        <w:t xml:space="preserve"> </w:t>
      </w:r>
      <w:r w:rsidR="00491887">
        <w:t xml:space="preserve">Lipoxins are synthesized </w:t>
      </w:r>
      <w:r w:rsidR="00983544">
        <w:t xml:space="preserve">from </w:t>
      </w:r>
      <w:r w:rsidR="006B1AD4">
        <w:t xml:space="preserve">the </w:t>
      </w:r>
      <w:r w:rsidR="00983544">
        <w:t xml:space="preserve">metabolite of </w:t>
      </w:r>
      <w:r w:rsidR="002B331E">
        <w:t>15-lipoxygenase</w:t>
      </w:r>
      <w:r w:rsidR="002206E1">
        <w:t xml:space="preserve"> (15-LO)</w:t>
      </w:r>
      <w:r w:rsidR="002B331E">
        <w:t xml:space="preserve">, an enzyme produced by </w:t>
      </w:r>
      <w:r w:rsidR="00491887">
        <w:t>mac</w:t>
      </w:r>
      <w:r w:rsidR="008C0143">
        <w:t xml:space="preserve">rophages and dendritic cells. </w:t>
      </w:r>
      <w:r w:rsidR="0062019A">
        <w:rPr>
          <w:vertAlign w:val="superscript"/>
        </w:rPr>
        <w:t>[5</w:t>
      </w:r>
      <w:r w:rsidR="00491887" w:rsidRPr="00B9417F">
        <w:rPr>
          <w:vertAlign w:val="superscript"/>
        </w:rPr>
        <w:t>]</w:t>
      </w:r>
      <w:r w:rsidR="00491887">
        <w:t xml:space="preserve"> T</w:t>
      </w:r>
      <w:r w:rsidR="008C0143">
        <w:t>hey inhibit neutrophil infiltration into the wound site by reducing vascular permeability.</w:t>
      </w:r>
      <w:r w:rsidR="008E61C0">
        <w:t xml:space="preserve"> </w:t>
      </w:r>
      <w:r w:rsidR="0062019A">
        <w:rPr>
          <w:vertAlign w:val="superscript"/>
        </w:rPr>
        <w:t>[4</w:t>
      </w:r>
      <w:r w:rsidR="008E61C0" w:rsidRPr="00B9417F">
        <w:rPr>
          <w:vertAlign w:val="superscript"/>
        </w:rPr>
        <w:t>]</w:t>
      </w:r>
      <w:r w:rsidR="0062019A">
        <w:rPr>
          <w:vertAlign w:val="superscript"/>
        </w:rPr>
        <w:t>[6</w:t>
      </w:r>
      <w:r w:rsidR="00115AAC">
        <w:rPr>
          <w:vertAlign w:val="superscript"/>
        </w:rPr>
        <w:t>]</w:t>
      </w:r>
      <w:r w:rsidR="008C0143">
        <w:t xml:space="preserve"> Lipoxins also stimulate the non-inflammatory recruitment of macrophages to phagocytose the apoptotic neutrophils built up at the site of the wound</w:t>
      </w:r>
      <w:r w:rsidR="006B610D">
        <w:t xml:space="preserve"> (Figure 1)</w:t>
      </w:r>
      <w:r w:rsidR="008C0143">
        <w:t>.</w:t>
      </w:r>
      <w:r w:rsidR="0044264C">
        <w:t xml:space="preserve"> </w:t>
      </w:r>
      <w:r w:rsidR="0062019A">
        <w:rPr>
          <w:vertAlign w:val="superscript"/>
        </w:rPr>
        <w:t>[7</w:t>
      </w:r>
      <w:r w:rsidR="0044264C" w:rsidRPr="00B9417F">
        <w:rPr>
          <w:vertAlign w:val="superscript"/>
        </w:rPr>
        <w:t>]</w:t>
      </w:r>
      <w:r w:rsidR="0062019A">
        <w:rPr>
          <w:vertAlign w:val="superscript"/>
        </w:rPr>
        <w:t>[</w:t>
      </w:r>
      <w:r w:rsidR="00115AAC">
        <w:rPr>
          <w:vertAlign w:val="superscript"/>
        </w:rPr>
        <w:t>8]</w:t>
      </w:r>
      <w:r w:rsidR="0044264C" w:rsidRPr="00B9417F">
        <w:rPr>
          <w:vertAlign w:val="superscript"/>
        </w:rPr>
        <w:t xml:space="preserve"> </w:t>
      </w:r>
      <w:r w:rsidR="0044264C">
        <w:t xml:space="preserve">This aids in returning the wound site to homeostasis and stimulating the end of the inflammatory phase of wound healing. </w:t>
      </w:r>
      <w:r w:rsidR="00B9417F">
        <w:t xml:space="preserve">It has been demonstrated that lipoxin biosynthesis is concurrent with wound resolution. </w:t>
      </w:r>
      <w:r w:rsidR="00B9417F" w:rsidRPr="00B9417F">
        <w:rPr>
          <w:vertAlign w:val="superscript"/>
        </w:rPr>
        <w:t>[</w:t>
      </w:r>
      <w:r w:rsidR="0062019A">
        <w:rPr>
          <w:vertAlign w:val="superscript"/>
        </w:rPr>
        <w:t>9</w:t>
      </w:r>
      <w:r w:rsidR="00B9417F" w:rsidRPr="00B9417F">
        <w:rPr>
          <w:vertAlign w:val="superscript"/>
        </w:rPr>
        <w:t>]</w:t>
      </w:r>
      <w:r w:rsidR="0041731B">
        <w:rPr>
          <w:vertAlign w:val="superscript"/>
        </w:rPr>
        <w:t xml:space="preserve"> </w:t>
      </w:r>
      <w:r w:rsidR="0041731B">
        <w:t xml:space="preserve">Since </w:t>
      </w:r>
      <w:r w:rsidR="002206E1">
        <w:t xml:space="preserve">15-lipoxygenase is crucial </w:t>
      </w:r>
      <w:r w:rsidR="001467C2">
        <w:t xml:space="preserve">to the biosynthesis of lipoxins, </w:t>
      </w:r>
      <w:r w:rsidR="0041731B">
        <w:t>its expression plays</w:t>
      </w:r>
      <w:r w:rsidR="001467C2">
        <w:t xml:space="preserve"> a key role in the resolution process.</w:t>
      </w:r>
    </w:p>
    <w:p w:rsidR="00B91C44" w:rsidRDefault="00B97EF9" w:rsidP="00AA0B90">
      <w:pPr>
        <w:spacing w:before="240" w:after="0"/>
      </w:pPr>
      <w:r>
        <w:t>Negative pressure wound therapy</w:t>
      </w:r>
      <w:r w:rsidR="00BB5D8F">
        <w:t xml:space="preserve"> (NPWT)</w:t>
      </w:r>
      <w:r>
        <w:t xml:space="preserve">, also known as vacuum </w:t>
      </w:r>
      <w:r w:rsidR="00BB5D8F">
        <w:t>assisted closure, reduces ambient</w:t>
      </w:r>
      <w:r w:rsidR="00827376">
        <w:t xml:space="preserve"> pressure at the site of the wound. </w:t>
      </w:r>
      <w:r w:rsidR="005C2D84">
        <w:t>NPWT</w:t>
      </w:r>
      <w:r w:rsidR="00BB5D8F">
        <w:t xml:space="preserve"> increases the incidence </w:t>
      </w:r>
      <w:r w:rsidR="008A06E2">
        <w:t>and rate of wound closure</w:t>
      </w:r>
      <w:r w:rsidR="002F504D">
        <w:t xml:space="preserve"> in patients with problematic wounds</w:t>
      </w:r>
      <w:r w:rsidR="008A06E2">
        <w:t xml:space="preserve">. </w:t>
      </w:r>
      <w:r w:rsidR="0062019A">
        <w:rPr>
          <w:vertAlign w:val="superscript"/>
        </w:rPr>
        <w:t>[10</w:t>
      </w:r>
      <w:r w:rsidR="00BB5D8F" w:rsidRPr="008A06E2">
        <w:rPr>
          <w:vertAlign w:val="superscript"/>
        </w:rPr>
        <w:t>]</w:t>
      </w:r>
      <w:r w:rsidR="00C7103A">
        <w:t xml:space="preserve"> Previously it was thought that NPWT accomplished this </w:t>
      </w:r>
      <w:r w:rsidR="0086238A">
        <w:t xml:space="preserve">simply </w:t>
      </w:r>
      <w:r w:rsidR="00C7103A">
        <w:t>by reducing the bacterial load at the wound site and sucking away</w:t>
      </w:r>
      <w:r w:rsidR="0086238A">
        <w:t xml:space="preserve"> excess wound exudate, which </w:t>
      </w:r>
      <w:r w:rsidR="00C7103A">
        <w:t xml:space="preserve">can cause </w:t>
      </w:r>
      <w:r w:rsidR="0086238A">
        <w:t>issues</w:t>
      </w:r>
      <w:r w:rsidR="00C7103A">
        <w:t xml:space="preserve"> with proper </w:t>
      </w:r>
      <w:r w:rsidR="005C2D84">
        <w:t xml:space="preserve">wound </w:t>
      </w:r>
      <w:r w:rsidR="00C7103A">
        <w:t>healing</w:t>
      </w:r>
      <w:r w:rsidR="00D9062C">
        <w:t xml:space="preserve"> due to its matrix metalloprotease rich environment degrading the collagen of the extracellular matrix (ECM)</w:t>
      </w:r>
      <w:r w:rsidR="00C7103A">
        <w:t xml:space="preserve">. </w:t>
      </w:r>
      <w:r w:rsidR="00C7103A" w:rsidRPr="00C7103A">
        <w:rPr>
          <w:vertAlign w:val="superscript"/>
        </w:rPr>
        <w:t>[</w:t>
      </w:r>
      <w:r w:rsidR="0062019A">
        <w:rPr>
          <w:vertAlign w:val="superscript"/>
        </w:rPr>
        <w:t>10</w:t>
      </w:r>
      <w:r w:rsidR="00C7103A" w:rsidRPr="00C7103A">
        <w:rPr>
          <w:vertAlign w:val="superscript"/>
        </w:rPr>
        <w:t>]</w:t>
      </w:r>
      <w:r w:rsidR="003B4D68">
        <w:t xml:space="preserve"> Recently, the molecular mechanism of NPWT has been investigated </w:t>
      </w:r>
      <w:r w:rsidR="002C673D">
        <w:t>and it has been discovered</w:t>
      </w:r>
      <w:r w:rsidR="005C2D84">
        <w:t xml:space="preserve"> that it affects the expression levels of a variety of genes involved in wound healing. NPWT causes an upregulation of </w:t>
      </w:r>
      <w:r w:rsidR="00F93DB4">
        <w:t xml:space="preserve">a variety of genes including </w:t>
      </w:r>
      <w:r w:rsidR="005C2D84">
        <w:t>Cdc42</w:t>
      </w:r>
      <w:r w:rsidR="00F93DB4">
        <w:t xml:space="preserve"> and VEGF,</w:t>
      </w:r>
      <w:r w:rsidR="005C2D84">
        <w:t xml:space="preserve"> </w:t>
      </w:r>
      <w:r w:rsidR="00F93DB4">
        <w:t xml:space="preserve">proteins that are key to cellular migration and angiogenesis. </w:t>
      </w:r>
      <w:r w:rsidR="0062019A">
        <w:rPr>
          <w:vertAlign w:val="superscript"/>
        </w:rPr>
        <w:t>[</w:t>
      </w:r>
      <w:proofErr w:type="gramStart"/>
      <w:r w:rsidR="0062019A">
        <w:rPr>
          <w:vertAlign w:val="superscript"/>
        </w:rPr>
        <w:t>10</w:t>
      </w:r>
      <w:r w:rsidR="00F93DB4" w:rsidRPr="00F93DB4">
        <w:rPr>
          <w:vertAlign w:val="superscript"/>
        </w:rPr>
        <w:t>]</w:t>
      </w:r>
      <w:r w:rsidR="0062019A">
        <w:rPr>
          <w:vertAlign w:val="superscript"/>
        </w:rPr>
        <w:t>[</w:t>
      </w:r>
      <w:proofErr w:type="gramEnd"/>
      <w:r w:rsidR="0062019A">
        <w:rPr>
          <w:vertAlign w:val="superscript"/>
        </w:rPr>
        <w:t>11</w:t>
      </w:r>
      <w:r w:rsidR="00F93DB4" w:rsidRPr="00F93DB4">
        <w:rPr>
          <w:vertAlign w:val="superscript"/>
        </w:rPr>
        <w:t>]</w:t>
      </w:r>
      <w:r w:rsidR="00F93DB4">
        <w:t xml:space="preserve"> NPWT also downregulates the expression of matrix metalloprotease </w:t>
      </w:r>
      <w:r w:rsidR="00D9062C">
        <w:t>genes, ensuring that the ECM is not degraded as it forms</w:t>
      </w:r>
      <w:r w:rsidR="00014CCD">
        <w:t>.</w:t>
      </w:r>
      <w:r w:rsidR="002C673D">
        <w:t xml:space="preserve"> </w:t>
      </w:r>
      <w:r w:rsidR="0062019A">
        <w:rPr>
          <w:vertAlign w:val="superscript"/>
        </w:rPr>
        <w:t>[10</w:t>
      </w:r>
      <w:r w:rsidR="002C673D" w:rsidRPr="002C673D">
        <w:rPr>
          <w:vertAlign w:val="superscript"/>
        </w:rPr>
        <w:t>]</w:t>
      </w:r>
      <w:r w:rsidR="006C05DB">
        <w:t xml:space="preserve"> </w:t>
      </w:r>
    </w:p>
    <w:p w:rsidR="00705293" w:rsidRDefault="002C673D" w:rsidP="00C7103A">
      <w:pPr>
        <w:spacing w:before="240" w:after="0"/>
      </w:pPr>
      <w:r>
        <w:lastRenderedPageBreak/>
        <w:t>Given the knowledge that NPWT a</w:t>
      </w:r>
      <w:r w:rsidR="005C709B">
        <w:t xml:space="preserve">ffects gene expression at the site of the wound, further investigation is needed in regards to expression of </w:t>
      </w:r>
      <w:r w:rsidR="00D806A0">
        <w:t>the enzymes</w:t>
      </w:r>
      <w:r w:rsidR="005C709B">
        <w:t xml:space="preserve"> involved in the </w:t>
      </w:r>
      <w:r w:rsidR="00D806A0">
        <w:t xml:space="preserve">biosynthesis </w:t>
      </w:r>
      <w:r w:rsidR="00402E73">
        <w:t xml:space="preserve">of the </w:t>
      </w:r>
      <w:r w:rsidR="00D806A0">
        <w:t xml:space="preserve">mediators that control the </w:t>
      </w:r>
      <w:r w:rsidR="005C709B">
        <w:t xml:space="preserve">resolution </w:t>
      </w:r>
      <w:r w:rsidR="00D806A0">
        <w:t xml:space="preserve">of the inflammatory </w:t>
      </w:r>
      <w:r w:rsidR="005C709B">
        <w:t>phase of wound healing. The purpose of this experiment is to discover whether NPWT eff</w:t>
      </w:r>
      <w:r w:rsidR="00F41462">
        <w:t>ects the gene expression of ALOX15</w:t>
      </w:r>
      <w:r w:rsidR="005C709B">
        <w:t xml:space="preserve">, </w:t>
      </w:r>
      <w:r w:rsidR="00F41462">
        <w:t>whose protein product</w:t>
      </w:r>
      <w:r w:rsidR="005C709B">
        <w:t xml:space="preserve"> </w:t>
      </w:r>
      <w:r w:rsidR="00054F4C">
        <w:t>controls</w:t>
      </w:r>
      <w:r w:rsidR="005C709B">
        <w:t xml:space="preserve"> biosynthesis of the lipoxins </w:t>
      </w:r>
      <w:r>
        <w:t xml:space="preserve">directly </w:t>
      </w:r>
      <w:r w:rsidR="005C709B">
        <w:t xml:space="preserve">involved in </w:t>
      </w:r>
      <w:r w:rsidR="0054401B">
        <w:t xml:space="preserve">wound </w:t>
      </w:r>
      <w:r w:rsidR="005C709B">
        <w:t>resolution.</w:t>
      </w:r>
      <w:r w:rsidR="007B0E28" w:rsidRPr="007B0E28">
        <w:rPr>
          <w:noProof/>
        </w:rPr>
        <w:t xml:space="preserve"> </w:t>
      </w:r>
    </w:p>
    <w:p w:rsidR="00DE09F7" w:rsidRPr="00DE09F7" w:rsidRDefault="00DE09F7" w:rsidP="00DE09F7">
      <w:pPr>
        <w:spacing w:before="240" w:after="0"/>
        <w:rPr>
          <w:b/>
        </w:rPr>
      </w:pPr>
      <w:r w:rsidRPr="00DE09F7">
        <w:rPr>
          <w:b/>
        </w:rPr>
        <w:t>II. Experiment</w:t>
      </w:r>
    </w:p>
    <w:p w:rsidR="00462E54" w:rsidRDefault="006A5726" w:rsidP="00DE09F7">
      <w:pPr>
        <w:spacing w:before="240" w:after="0"/>
      </w:pPr>
      <w:r>
        <w:t xml:space="preserve">The </w:t>
      </w:r>
      <w:r w:rsidR="004E1D5C">
        <w:t>aim of this experiment is to find out</w:t>
      </w:r>
      <w:r>
        <w:t xml:space="preserve"> if negative pressure therapy effects th</w:t>
      </w:r>
      <w:r w:rsidR="003777A9">
        <w:t>e expression of the ALOX15 gene</w:t>
      </w:r>
      <w:r w:rsidR="00FD76D5">
        <w:t>,</w:t>
      </w:r>
      <w:r>
        <w:t xml:space="preserve"> which codes for the 15-lipoxygenase </w:t>
      </w:r>
      <w:r w:rsidR="00013836">
        <w:t xml:space="preserve">protein </w:t>
      </w:r>
      <w:r>
        <w:t>needed to create lipoxins</w:t>
      </w:r>
      <w:r w:rsidR="00013836">
        <w:t xml:space="preserve">. </w:t>
      </w:r>
      <w:r w:rsidR="00422C54" w:rsidRPr="00013836">
        <w:t>To quantify gene expression, it is necessary to isolate the cellular RNA as a measure of the expression level.</w:t>
      </w:r>
      <w:r w:rsidR="00572A48" w:rsidRPr="00013836">
        <w:t xml:space="preserve"> </w:t>
      </w:r>
      <w:r w:rsidR="00572A48" w:rsidRPr="00374AC6">
        <w:t xml:space="preserve">In addition to RNA quantification, it is helpful to identify target protein levels </w:t>
      </w:r>
      <w:r w:rsidR="00374AC6" w:rsidRPr="00374AC6">
        <w:t>as they</w:t>
      </w:r>
      <w:r w:rsidR="0085614D">
        <w:t xml:space="preserve"> are</w:t>
      </w:r>
      <w:r w:rsidR="00374AC6">
        <w:t xml:space="preserve"> the end </w:t>
      </w:r>
      <w:r w:rsidR="00572A48" w:rsidRPr="00374AC6">
        <w:t>result of the increased gene</w:t>
      </w:r>
      <w:r w:rsidR="00422C54" w:rsidRPr="00374AC6">
        <w:t xml:space="preserve"> </w:t>
      </w:r>
      <w:r w:rsidR="00572A48" w:rsidRPr="00374AC6">
        <w:t>expression</w:t>
      </w:r>
      <w:r w:rsidR="00013836" w:rsidRPr="00013836">
        <w:t>.</w:t>
      </w:r>
      <w:r w:rsidR="00572A48">
        <w:t xml:space="preserve"> </w:t>
      </w:r>
      <w:r w:rsidR="003777A9">
        <w:t>The RNA transcript</w:t>
      </w:r>
      <w:r w:rsidR="00413B62">
        <w:t xml:space="preserve"> and protein</w:t>
      </w:r>
      <w:r w:rsidR="003777A9">
        <w:t xml:space="preserve"> amounts</w:t>
      </w:r>
      <w:r w:rsidR="003B4C60">
        <w:t xml:space="preserve"> under NPWT</w:t>
      </w:r>
      <w:r w:rsidR="003777A9">
        <w:t xml:space="preserve"> will be compared to </w:t>
      </w:r>
      <w:r w:rsidR="003B4C60">
        <w:t>the amounts under ambient pressure.</w:t>
      </w:r>
      <w:r w:rsidR="00A922EE">
        <w:t xml:space="preserve"> </w:t>
      </w:r>
    </w:p>
    <w:p w:rsidR="00492174" w:rsidRDefault="00492174" w:rsidP="00DE09F7">
      <w:pPr>
        <w:spacing w:before="240" w:after="0"/>
      </w:pPr>
      <w:r>
        <w:t>IIA. Sampling</w:t>
      </w:r>
    </w:p>
    <w:p w:rsidR="00492174" w:rsidRPr="00462E54" w:rsidRDefault="00865096" w:rsidP="00DE09F7">
      <w:pPr>
        <w:spacing w:before="240" w:after="0"/>
      </w:pPr>
      <w:r>
        <w:rPr>
          <w:noProof/>
        </w:rPr>
        <w:drawing>
          <wp:anchor distT="0" distB="0" distL="114300" distR="114300" simplePos="0" relativeHeight="251661312" behindDoc="0" locked="0" layoutInCell="1" allowOverlap="1" wp14:anchorId="2ACAEA3F" wp14:editId="458942AF">
            <wp:simplePos x="0" y="0"/>
            <wp:positionH relativeFrom="column">
              <wp:posOffset>5462270</wp:posOffset>
            </wp:positionH>
            <wp:positionV relativeFrom="paragraph">
              <wp:posOffset>1228090</wp:posOffset>
            </wp:positionV>
            <wp:extent cx="1151890" cy="3787140"/>
            <wp:effectExtent l="0" t="0" r="0" b="3810"/>
            <wp:wrapSquare wrapText="bothSides"/>
            <wp:docPr id="1" name="Picture 1" descr="RNeasy Mini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asy Mini proced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378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557">
        <w:t>Acute c</w:t>
      </w:r>
      <w:r w:rsidR="00265343">
        <w:t xml:space="preserve">ompartment syndrome is </w:t>
      </w:r>
      <w:r w:rsidR="00926F8E">
        <w:t>a buildup of pressure in one of the nerve and muscle containing compartments in the body. It most commonly occurs in legs after a tibia fracture</w:t>
      </w:r>
      <w:r w:rsidR="00A22ABB">
        <w:t>, which causes bleeding into the adjacent muscles resulting in pressure buildup</w:t>
      </w:r>
      <w:r w:rsidR="00926F8E">
        <w:t xml:space="preserve">. </w:t>
      </w:r>
      <w:r w:rsidR="00926F8E" w:rsidRPr="00312040">
        <w:rPr>
          <w:vertAlign w:val="superscript"/>
        </w:rPr>
        <w:t>[</w:t>
      </w:r>
      <w:r w:rsidR="0062019A">
        <w:rPr>
          <w:vertAlign w:val="superscript"/>
        </w:rPr>
        <w:t>12</w:t>
      </w:r>
      <w:r w:rsidR="00926F8E" w:rsidRPr="00312040">
        <w:rPr>
          <w:vertAlign w:val="superscript"/>
        </w:rPr>
        <w:t xml:space="preserve">] </w:t>
      </w:r>
      <w:r w:rsidR="00CD7DD5">
        <w:t>The only treatment is to cut open the muscular compartment</w:t>
      </w:r>
      <w:r w:rsidR="00F97702">
        <w:t xml:space="preserve"> to relieve the pressure. </w:t>
      </w:r>
      <w:r w:rsidR="0062019A">
        <w:rPr>
          <w:vertAlign w:val="superscript"/>
        </w:rPr>
        <w:t>[13</w:t>
      </w:r>
      <w:r w:rsidR="00CD7DD5" w:rsidRPr="00F97702">
        <w:rPr>
          <w:vertAlign w:val="superscript"/>
        </w:rPr>
        <w:t>]</w:t>
      </w:r>
      <w:r w:rsidR="00CD7DD5">
        <w:t xml:space="preserve"> </w:t>
      </w:r>
      <w:r w:rsidR="00AB566F">
        <w:t xml:space="preserve">After the wound is cut open, negative pressure can be applied to the wound in order to aid healing and protect from infection. </w:t>
      </w:r>
      <w:r w:rsidR="0062019A">
        <w:rPr>
          <w:vertAlign w:val="superscript"/>
        </w:rPr>
        <w:t>[13</w:t>
      </w:r>
      <w:r w:rsidR="00AB566F" w:rsidRPr="00AB566F">
        <w:rPr>
          <w:vertAlign w:val="superscript"/>
        </w:rPr>
        <w:t>]</w:t>
      </w:r>
      <w:r w:rsidR="00AB566F">
        <w:rPr>
          <w:vertAlign w:val="superscript"/>
        </w:rPr>
        <w:t xml:space="preserve"> </w:t>
      </w:r>
      <w:r w:rsidR="00462E54">
        <w:t xml:space="preserve">Tissue biopsies will be taken </w:t>
      </w:r>
      <w:r w:rsidR="00D1446C">
        <w:t xml:space="preserve">every </w:t>
      </w:r>
      <w:r w:rsidR="001E513F" w:rsidRPr="001E513F">
        <w:t>day</w:t>
      </w:r>
      <w:r w:rsidR="001E513F">
        <w:rPr>
          <w:b/>
        </w:rPr>
        <w:t xml:space="preserve"> </w:t>
      </w:r>
      <w:r w:rsidR="001E513F">
        <w:t>for 30 days</w:t>
      </w:r>
      <w:r w:rsidR="00D1446C">
        <w:t xml:space="preserve"> </w:t>
      </w:r>
      <w:r w:rsidR="00462E54">
        <w:t xml:space="preserve">from post-operative patients </w:t>
      </w:r>
      <w:r w:rsidR="00312040">
        <w:t xml:space="preserve">being treated for </w:t>
      </w:r>
      <w:r w:rsidR="00CF5CE1">
        <w:t xml:space="preserve">lower-leg </w:t>
      </w:r>
      <w:r w:rsidR="00462E54">
        <w:t>c</w:t>
      </w:r>
      <w:r w:rsidR="00CF5CE1">
        <w:t xml:space="preserve">ompartment syndrome </w:t>
      </w:r>
      <w:r w:rsidR="00312040">
        <w:t xml:space="preserve">with NPWT at </w:t>
      </w:r>
      <w:r w:rsidR="00CF5CE1">
        <w:t xml:space="preserve">a constant pressure of </w:t>
      </w:r>
      <w:r w:rsidR="00312040">
        <w:t>125 mmHg</w:t>
      </w:r>
      <w:r w:rsidR="00462E54">
        <w:t>.</w:t>
      </w:r>
      <w:r w:rsidR="00701464">
        <w:t xml:space="preserve"> If the patient is older than 50 years old</w:t>
      </w:r>
      <w:r w:rsidR="00CF5CE1">
        <w:t>, has diabetes,</w:t>
      </w:r>
      <w:r w:rsidR="00701464">
        <w:t xml:space="preserve"> or</w:t>
      </w:r>
      <w:r w:rsidR="00CF5CE1">
        <w:t xml:space="preserve"> is</w:t>
      </w:r>
      <w:r w:rsidR="00383825">
        <w:t xml:space="preserve"> prescribed </w:t>
      </w:r>
      <w:r w:rsidR="00701464">
        <w:t>anti-inflammatory drugs, they will be excluded</w:t>
      </w:r>
      <w:r w:rsidR="001262C2">
        <w:t xml:space="preserve"> </w:t>
      </w:r>
      <w:r w:rsidR="00D54B62">
        <w:t xml:space="preserve">from the study </w:t>
      </w:r>
      <w:r w:rsidR="001262C2">
        <w:t>to reduce comorbidity and disruption of the natural inflammatory process</w:t>
      </w:r>
      <w:r w:rsidR="00701464">
        <w:t xml:space="preserve">. </w:t>
      </w:r>
      <w:r w:rsidR="00462E54">
        <w:t>Samples intended for qPCR analysis will be stabilized using the RNA</w:t>
      </w:r>
      <w:r w:rsidR="00462E54">
        <w:rPr>
          <w:i/>
        </w:rPr>
        <w:t xml:space="preserve">later </w:t>
      </w:r>
      <w:r w:rsidR="00462E54">
        <w:t>solution made by Qiagen, which will stop RNase activity and pre</w:t>
      </w:r>
      <w:r w:rsidR="00775E95">
        <w:t>serve the RNA for later testing so</w:t>
      </w:r>
      <w:r w:rsidR="00D54B62">
        <w:t xml:space="preserve"> that it can be completed</w:t>
      </w:r>
      <w:r w:rsidR="00775E95">
        <w:t xml:space="preserve"> at one time.</w:t>
      </w:r>
      <w:r w:rsidR="0080568B">
        <w:t xml:space="preserve"> </w:t>
      </w:r>
      <w:r w:rsidR="0062019A">
        <w:rPr>
          <w:vertAlign w:val="superscript"/>
        </w:rPr>
        <w:t>[14</w:t>
      </w:r>
      <w:r w:rsidR="0080568B">
        <w:rPr>
          <w:vertAlign w:val="superscript"/>
        </w:rPr>
        <w:t>]</w:t>
      </w:r>
      <w:r w:rsidR="009F6C34">
        <w:t xml:space="preserve"> Samples intended for ELISA analyzation will be suspended in saline solution containing a non-ionic detergent</w:t>
      </w:r>
      <w:r w:rsidR="005C1100">
        <w:t xml:space="preserve"> to solubilize membrane proteins</w:t>
      </w:r>
      <w:r w:rsidR="009F6C34">
        <w:t xml:space="preserve"> and homogenized with a Polytron. </w:t>
      </w:r>
    </w:p>
    <w:p w:rsidR="00CD1C21" w:rsidRDefault="00492174" w:rsidP="00DE09F7">
      <w:pPr>
        <w:spacing w:before="240" w:after="0"/>
      </w:pPr>
      <w:r>
        <w:t>IIB</w:t>
      </w:r>
      <w:r w:rsidR="00CD1C21">
        <w:t xml:space="preserve">. </w:t>
      </w:r>
      <w:r w:rsidR="00A22ABB">
        <w:t>RNA Extraction</w:t>
      </w:r>
      <w:r w:rsidR="00C90EFB">
        <w:t xml:space="preserve"> </w:t>
      </w:r>
      <w:r w:rsidR="00D456B1">
        <w:t xml:space="preserve">and </w:t>
      </w:r>
      <w:r w:rsidR="00C90EFB">
        <w:t>Quantification</w:t>
      </w:r>
    </w:p>
    <w:p w:rsidR="0020750F" w:rsidRDefault="007156A7" w:rsidP="00DE09F7">
      <w:pPr>
        <w:spacing w:before="240" w:after="0"/>
      </w:pPr>
      <w:r>
        <w:t>Tissue samples will b</w:t>
      </w:r>
      <w:r w:rsidR="005F746E">
        <w:t xml:space="preserve">e </w:t>
      </w:r>
      <w:r w:rsidR="004E08CD">
        <w:t>immersed in guanadinium thiocyanate, which will lyse the cells and denature R</w:t>
      </w:r>
      <w:r w:rsidR="002D76F0">
        <w:t>N</w:t>
      </w:r>
      <w:r w:rsidR="004E08CD">
        <w:t>ase as well as DNase.</w:t>
      </w:r>
      <w:r w:rsidR="00653C58">
        <w:t xml:space="preserve"> It accomplishes this by disrupting the hydration shells of the nonpolar amino acids, which weakens the effect of the hydrophobic forces that contribute to the tertiary structure of </w:t>
      </w:r>
      <w:proofErr w:type="gramStart"/>
      <w:r w:rsidR="00653C58">
        <w:t>enzymes</w:t>
      </w:r>
      <w:r w:rsidR="00C326EE">
        <w:t>.</w:t>
      </w:r>
      <w:r w:rsidR="0062019A">
        <w:rPr>
          <w:vertAlign w:val="superscript"/>
        </w:rPr>
        <w:t>[</w:t>
      </w:r>
      <w:proofErr w:type="gramEnd"/>
      <w:r w:rsidR="0062019A">
        <w:rPr>
          <w:vertAlign w:val="superscript"/>
        </w:rPr>
        <w:t>15</w:t>
      </w:r>
      <w:r w:rsidR="00653C58" w:rsidRPr="00C326EE">
        <w:rPr>
          <w:vertAlign w:val="superscript"/>
        </w:rPr>
        <w:t>]</w:t>
      </w:r>
      <w:r w:rsidR="004E08CD">
        <w:t xml:space="preserve"> This will preserve the RNA for analysis when it would otherwise be hydrolyzed by the RNase. The sample will then be </w:t>
      </w:r>
      <w:r w:rsidR="005F746E">
        <w:t>centrifuged in a</w:t>
      </w:r>
      <w:r w:rsidR="00951F70">
        <w:t xml:space="preserve"> </w:t>
      </w:r>
      <w:r w:rsidR="009A1AE9">
        <w:t>RNeasy</w:t>
      </w:r>
      <w:r w:rsidR="00951F70">
        <w:t xml:space="preserve"> tube</w:t>
      </w:r>
      <w:r w:rsidR="00322710">
        <w:t xml:space="preserve"> produced</w:t>
      </w:r>
      <w:r w:rsidR="009A1AE9">
        <w:t xml:space="preserve"> by the company Qiagen</w:t>
      </w:r>
      <w:r w:rsidR="00951F70">
        <w:t xml:space="preserve">. The </w:t>
      </w:r>
      <w:r w:rsidR="009A1AE9">
        <w:t>RNeasy</w:t>
      </w:r>
      <w:r w:rsidR="005F746E">
        <w:t xml:space="preserve"> </w:t>
      </w:r>
      <w:r w:rsidR="009A1AE9">
        <w:t xml:space="preserve">silica </w:t>
      </w:r>
      <w:r w:rsidR="005F746E">
        <w:t xml:space="preserve">filter lets everything except the RNA pass through, </w:t>
      </w:r>
      <w:r w:rsidR="00A22689">
        <w:t>while the RNA adheres</w:t>
      </w:r>
      <w:r w:rsidR="005F746E">
        <w:t xml:space="preserve"> to the filter</w:t>
      </w:r>
      <w:r w:rsidR="00BC6E67">
        <w:t xml:space="preserve"> </w:t>
      </w:r>
      <w:r w:rsidR="00E90B05">
        <w:t>(Figure 2</w:t>
      </w:r>
      <w:proofErr w:type="gramStart"/>
      <w:r w:rsidR="00E90B05">
        <w:t>)</w:t>
      </w:r>
      <w:r w:rsidR="00C326EE">
        <w:t>.</w:t>
      </w:r>
      <w:r w:rsidR="00322710" w:rsidRPr="00C326EE">
        <w:rPr>
          <w:vertAlign w:val="superscript"/>
        </w:rPr>
        <w:t>[</w:t>
      </w:r>
      <w:proofErr w:type="gramEnd"/>
      <w:r w:rsidR="0062019A">
        <w:rPr>
          <w:vertAlign w:val="superscript"/>
        </w:rPr>
        <w:t>16</w:t>
      </w:r>
      <w:r w:rsidR="00396A00" w:rsidRPr="00C326EE">
        <w:rPr>
          <w:vertAlign w:val="superscript"/>
        </w:rPr>
        <w:t>]</w:t>
      </w:r>
      <w:r w:rsidR="005F746E">
        <w:t xml:space="preserve"> </w:t>
      </w:r>
    </w:p>
    <w:p w:rsidR="00C90EFB" w:rsidRDefault="00865096" w:rsidP="00DE09F7">
      <w:pPr>
        <w:spacing w:before="240" w:after="0"/>
      </w:pPr>
      <w:r>
        <w:rPr>
          <w:noProof/>
        </w:rPr>
        <mc:AlternateContent>
          <mc:Choice Requires="wps">
            <w:drawing>
              <wp:anchor distT="45720" distB="45720" distL="114300" distR="114300" simplePos="0" relativeHeight="251663360" behindDoc="0" locked="0" layoutInCell="1" allowOverlap="1" wp14:anchorId="6338FD10" wp14:editId="1C514919">
                <wp:simplePos x="0" y="0"/>
                <wp:positionH relativeFrom="margin">
                  <wp:posOffset>5170170</wp:posOffset>
                </wp:positionH>
                <wp:positionV relativeFrom="paragraph">
                  <wp:posOffset>1036320</wp:posOffset>
                </wp:positionV>
                <wp:extent cx="1554480" cy="6400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w="9525">
                          <a:solidFill>
                            <a:srgbClr val="000000"/>
                          </a:solidFill>
                          <a:miter lim="800000"/>
                          <a:headEnd/>
                          <a:tailEnd/>
                        </a:ln>
                      </wps:spPr>
                      <wps:txbx>
                        <w:txbxContent>
                          <w:p w:rsidR="00134E43" w:rsidRPr="00C326EE" w:rsidRDefault="00134E43">
                            <w:pPr>
                              <w:rPr>
                                <w:sz w:val="18"/>
                                <w:szCs w:val="18"/>
                                <w:vertAlign w:val="superscript"/>
                              </w:rPr>
                            </w:pPr>
                            <w:r w:rsidRPr="0056118D">
                              <w:rPr>
                                <w:b/>
                                <w:sz w:val="18"/>
                                <w:szCs w:val="18"/>
                              </w:rPr>
                              <w:t>Figure 2</w:t>
                            </w:r>
                            <w:r w:rsidRPr="0056118D">
                              <w:rPr>
                                <w:sz w:val="18"/>
                                <w:szCs w:val="18"/>
                              </w:rPr>
                              <w:t>: The RNeasy kit allows for simple isolation of the cellular RNA via silica filter.</w:t>
                            </w:r>
                            <w:r w:rsidR="00C326EE">
                              <w:rPr>
                                <w:sz w:val="18"/>
                                <w:szCs w:val="18"/>
                              </w:rPr>
                              <w:t xml:space="preserve"> </w:t>
                            </w:r>
                            <w:r w:rsidR="0062019A">
                              <w:rPr>
                                <w:vertAlign w:val="superscript"/>
                              </w:rPr>
                              <w:t>[16</w:t>
                            </w:r>
                            <w:r w:rsidR="00C326EE" w:rsidRPr="00F77DF0">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8FD10" id="_x0000_t202" coordsize="21600,21600" o:spt="202" path="m,l,21600r21600,l21600,xe">
                <v:stroke joinstyle="miter"/>
                <v:path gradientshapeok="t" o:connecttype="rect"/>
              </v:shapetype>
              <v:shape id="_x0000_s1028" type="#_x0000_t202" style="position:absolute;margin-left:407.1pt;margin-top:81.6pt;width:122.4pt;height:5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">
                <v:textbox>
                  <w:txbxContent>
                    <w:p w:rsidR="00134E43" w:rsidRPr="00C326EE" w:rsidRDefault="00134E43">
                      <w:pPr>
                        <w:rPr>
                          <w:sz w:val="18"/>
                          <w:szCs w:val="18"/>
                          <w:vertAlign w:val="superscript"/>
                        </w:rPr>
                      </w:pPr>
                      <w:r w:rsidRPr="0056118D">
                        <w:rPr>
                          <w:b/>
                          <w:sz w:val="18"/>
                          <w:szCs w:val="18"/>
                        </w:rPr>
                        <w:t>Figure 2</w:t>
                      </w:r>
                      <w:r w:rsidRPr="0056118D">
                        <w:rPr>
                          <w:sz w:val="18"/>
                          <w:szCs w:val="18"/>
                        </w:rPr>
                        <w:t>: The RNeasy kit allows for simple isolation of the cellular RNA via silica filter.</w:t>
                      </w:r>
                      <w:r w:rsidR="00C326EE">
                        <w:rPr>
                          <w:sz w:val="18"/>
                          <w:szCs w:val="18"/>
                        </w:rPr>
                        <w:t xml:space="preserve"> </w:t>
                      </w:r>
                      <w:r w:rsidR="0062019A">
                        <w:rPr>
                          <w:vertAlign w:val="superscript"/>
                        </w:rPr>
                        <w:t>[16</w:t>
                      </w:r>
                      <w:r w:rsidR="00C326EE" w:rsidRPr="00F77DF0">
                        <w:rPr>
                          <w:vertAlign w:val="superscript"/>
                        </w:rPr>
                        <w:t>]</w:t>
                      </w:r>
                    </w:p>
                  </w:txbxContent>
                </v:textbox>
                <w10:wrap type="square" anchorx="margin"/>
              </v:shape>
            </w:pict>
          </mc:Fallback>
        </mc:AlternateContent>
      </w:r>
      <w:r w:rsidR="00AC4F05">
        <w:t>Once the cellular RNA has been isolated, r</w:t>
      </w:r>
      <w:r w:rsidR="00F01470">
        <w:t xml:space="preserve">elative RNA levels will be </w:t>
      </w:r>
      <w:r w:rsidR="00E10B5E">
        <w:t>measured</w:t>
      </w:r>
      <w:r w:rsidR="00F01470">
        <w:t xml:space="preserve"> using quantitative real-time PCR (qPCR). qPCR </w:t>
      </w:r>
      <w:r w:rsidR="001B567B">
        <w:t xml:space="preserve">begins by a reverse transcriptase using the mRNA transcripts as templates for complimentary DNA (cDNA) synthesis. </w:t>
      </w:r>
      <w:r w:rsidR="00E10B5E">
        <w:t>DNA p</w:t>
      </w:r>
      <w:r w:rsidR="00716CEC">
        <w:t>rimers</w:t>
      </w:r>
      <w:r w:rsidR="006C791C">
        <w:t xml:space="preserve"> specific for 15-LO and</w:t>
      </w:r>
      <w:r w:rsidR="00090047">
        <w:t xml:space="preserve"> </w:t>
      </w:r>
      <w:r w:rsidR="006C791C" w:rsidRPr="006C791C">
        <w:t>C</w:t>
      </w:r>
      <w:r w:rsidR="00090047" w:rsidRPr="006C791C">
        <w:t>yclo</w:t>
      </w:r>
      <w:r w:rsidR="00663F91" w:rsidRPr="006C791C">
        <w:t>philin</w:t>
      </w:r>
      <w:r w:rsidR="006C791C" w:rsidRPr="006C791C">
        <w:t xml:space="preserve"> E</w:t>
      </w:r>
      <w:r w:rsidR="00716CEC">
        <w:t xml:space="preserve"> are then added</w:t>
      </w:r>
      <w:r w:rsidR="009F7932">
        <w:t xml:space="preserve"> to their respective tubes</w:t>
      </w:r>
      <w:r w:rsidR="00716CEC">
        <w:t xml:space="preserve"> and the polymerase chain reaction is used to amplify the resulting cDNA exponentially.</w:t>
      </w:r>
      <w:r w:rsidR="009F7932">
        <w:t xml:space="preserve"> SYBR Green is present in the assay and fluoresces when bound to </w:t>
      </w:r>
      <w:proofErr w:type="gramStart"/>
      <w:r w:rsidR="00A06479">
        <w:t>DNA.</w:t>
      </w:r>
      <w:r w:rsidR="00A06479" w:rsidRPr="009D7E44">
        <w:rPr>
          <w:vertAlign w:val="superscript"/>
        </w:rPr>
        <w:t>[</w:t>
      </w:r>
      <w:proofErr w:type="gramEnd"/>
      <w:r w:rsidR="0062019A">
        <w:rPr>
          <w:vertAlign w:val="superscript"/>
        </w:rPr>
        <w:t>17</w:t>
      </w:r>
      <w:r w:rsidR="009F7932" w:rsidRPr="009D7E44">
        <w:rPr>
          <w:vertAlign w:val="superscript"/>
        </w:rPr>
        <w:t xml:space="preserve">] </w:t>
      </w:r>
      <w:r w:rsidR="009F7932">
        <w:t xml:space="preserve">The more DNA is generated by the PCR reaction, based on the amount of starting mRNA, the more </w:t>
      </w:r>
      <w:r w:rsidR="00A06479">
        <w:t>fluorescence will occur</w:t>
      </w:r>
      <w:r w:rsidR="009F7932">
        <w:t>.</w:t>
      </w:r>
      <w:r w:rsidR="00716CEC">
        <w:t xml:space="preserve"> </w:t>
      </w:r>
      <w:r w:rsidR="00716CEC" w:rsidRPr="009F7932">
        <w:t xml:space="preserve">Gene expression levels are </w:t>
      </w:r>
      <w:r w:rsidR="009F7932">
        <w:t xml:space="preserve">then </w:t>
      </w:r>
      <w:r w:rsidR="00716CEC" w:rsidRPr="009F7932">
        <w:t xml:space="preserve">determined by the </w:t>
      </w:r>
      <w:r w:rsidR="006C791C">
        <w:t>fluorescence</w:t>
      </w:r>
      <w:r w:rsidR="006F06DC" w:rsidRPr="009F7932">
        <w:t xml:space="preserve"> of target ALOX15 cDNA</w:t>
      </w:r>
      <w:r w:rsidR="00663F91" w:rsidRPr="009F7932">
        <w:t xml:space="preserve"> relative to the</w:t>
      </w:r>
      <w:r w:rsidR="006F06DC" w:rsidRPr="009F7932">
        <w:t xml:space="preserve"> </w:t>
      </w:r>
      <w:r w:rsidR="006C791C">
        <w:t>C</w:t>
      </w:r>
      <w:r w:rsidR="00663F91" w:rsidRPr="009F7932">
        <w:t>yclophilin</w:t>
      </w:r>
      <w:r w:rsidR="006C791C">
        <w:t xml:space="preserve"> E</w:t>
      </w:r>
      <w:r w:rsidR="00D339E1">
        <w:t>,</w:t>
      </w:r>
      <w:r w:rsidR="00A474F5">
        <w:t xml:space="preserve"> which will serve as</w:t>
      </w:r>
      <w:r w:rsidR="00D339E1">
        <w:t xml:space="preserve"> a stable</w:t>
      </w:r>
      <w:r w:rsidR="00A474F5">
        <w:t xml:space="preserve"> expression</w:t>
      </w:r>
      <w:r w:rsidR="00A06479">
        <w:t xml:space="preserve"> </w:t>
      </w:r>
      <w:r w:rsidR="006C791C">
        <w:t>reference</w:t>
      </w:r>
      <w:r w:rsidR="00A474F5">
        <w:t xml:space="preserve"> in the </w:t>
      </w:r>
      <w:proofErr w:type="gramStart"/>
      <w:r w:rsidR="00A474F5">
        <w:t>assay</w:t>
      </w:r>
      <w:r w:rsidR="009F7932">
        <w:t>.</w:t>
      </w:r>
      <w:r w:rsidR="0062019A">
        <w:rPr>
          <w:vertAlign w:val="superscript"/>
        </w:rPr>
        <w:t>[</w:t>
      </w:r>
      <w:proofErr w:type="gramEnd"/>
      <w:r w:rsidR="0062019A">
        <w:rPr>
          <w:vertAlign w:val="superscript"/>
        </w:rPr>
        <w:t>18</w:t>
      </w:r>
      <w:r w:rsidR="00A474F5" w:rsidRPr="006C791C">
        <w:rPr>
          <w:vertAlign w:val="superscript"/>
        </w:rPr>
        <w:t>]</w:t>
      </w:r>
      <w:r w:rsidR="009F7932" w:rsidRPr="006C791C">
        <w:rPr>
          <w:vertAlign w:val="superscript"/>
        </w:rPr>
        <w:t xml:space="preserve"> </w:t>
      </w:r>
      <w:r w:rsidR="00781C5D">
        <w:t xml:space="preserve">In addition to the reference </w:t>
      </w:r>
      <w:r w:rsidR="00781C5D">
        <w:lastRenderedPageBreak/>
        <w:t>gene, two wells for each sample will have negative controls to control for contamination. The first negative control</w:t>
      </w:r>
      <w:r w:rsidR="00527B84">
        <w:t xml:space="preserve"> will contain the sample but</w:t>
      </w:r>
      <w:r w:rsidR="00781C5D">
        <w:t xml:space="preserve"> will not undergo reverse transcription prior to PCR amplification and the second control will contain water rather than RNA.</w:t>
      </w:r>
      <w:r w:rsidR="00E4187A">
        <w:t xml:space="preserve"> The two positive controls will be known DNA and RNA samples.</w:t>
      </w:r>
    </w:p>
    <w:p w:rsidR="00492174" w:rsidRDefault="00492174" w:rsidP="00DE09F7">
      <w:pPr>
        <w:spacing w:before="240" w:after="0"/>
      </w:pPr>
      <w:r>
        <w:t>IIC. Protein Quantification</w:t>
      </w:r>
    </w:p>
    <w:p w:rsidR="00FB0CD2" w:rsidRDefault="00AB4C84" w:rsidP="00DE09F7">
      <w:pPr>
        <w:spacing w:before="240" w:after="0"/>
      </w:pPr>
      <w:r w:rsidRPr="00AB4C84">
        <w:rPr>
          <w:b/>
          <w:noProof/>
        </w:rPr>
        <mc:AlternateContent>
          <mc:Choice Requires="wps">
            <w:drawing>
              <wp:anchor distT="45720" distB="45720" distL="114300" distR="114300" simplePos="0" relativeHeight="251675648" behindDoc="0" locked="0" layoutInCell="1" allowOverlap="1" wp14:anchorId="49825521" wp14:editId="28089F31">
                <wp:simplePos x="0" y="0"/>
                <wp:positionH relativeFrom="column">
                  <wp:posOffset>-10795</wp:posOffset>
                </wp:positionH>
                <wp:positionV relativeFrom="paragraph">
                  <wp:posOffset>2190750</wp:posOffset>
                </wp:positionV>
                <wp:extent cx="1495425" cy="1404620"/>
                <wp:effectExtent l="0" t="9525"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95425" cy="1404620"/>
                        </a:xfrm>
                        <a:prstGeom prst="rect">
                          <a:avLst/>
                        </a:prstGeom>
                        <a:solidFill>
                          <a:srgbClr val="FFFFFF"/>
                        </a:solidFill>
                        <a:ln w="9525">
                          <a:solidFill>
                            <a:srgbClr val="000000"/>
                          </a:solidFill>
                          <a:miter lim="800000"/>
                          <a:headEnd/>
                          <a:tailEnd/>
                        </a:ln>
                      </wps:spPr>
                      <wps:txbx>
                        <w:txbxContent>
                          <w:p w:rsidR="00AB4C84" w:rsidRDefault="00AB4C84" w:rsidP="00AB4C84">
                            <w:r>
                              <w:t>Concentration (ng/mL)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825521" id="_x0000_s1029" type="#_x0000_t202" style="position:absolute;margin-left:-.85pt;margin-top:172.5pt;width:117.75pt;height:110.6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">
                <v:textbox style="mso-fit-shape-to-text:t">
                  <w:txbxContent>
                    <w:p w:rsidR="00AB4C84" w:rsidRDefault="00AB4C84" w:rsidP="00AB4C84">
                      <w:r>
                        <w:t>Concentration (ng/mL)</w:t>
                      </w:r>
                    </w:p>
                  </w:txbxContent>
                </v:textbox>
                <w10:wrap type="square"/>
              </v:shape>
            </w:pict>
          </mc:Fallback>
        </mc:AlternateContent>
      </w:r>
      <w:r>
        <w:rPr>
          <w:noProof/>
        </w:rPr>
        <w:drawing>
          <wp:anchor distT="0" distB="0" distL="114300" distR="114300" simplePos="0" relativeHeight="251676672" behindDoc="0" locked="0" layoutInCell="1" allowOverlap="1" wp14:anchorId="50A34D89" wp14:editId="23E25F8E">
            <wp:simplePos x="0" y="0"/>
            <wp:positionH relativeFrom="column">
              <wp:posOffset>434340</wp:posOffset>
            </wp:positionH>
            <wp:positionV relativeFrom="paragraph">
              <wp:posOffset>1988820</wp:posOffset>
            </wp:positionV>
            <wp:extent cx="4335780" cy="2237740"/>
            <wp:effectExtent l="0" t="0" r="7620" b="0"/>
            <wp:wrapSquare wrapText="bothSides"/>
            <wp:docPr id="12" name="Picture 12" descr="https://i.gyazo.com/c92a1848d9dcd46f3c86ecd32e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c92a1848d9dcd46f3c86ecd32e81f6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780"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0DF">
        <w:rPr>
          <w:noProof/>
        </w:rPr>
        <w:drawing>
          <wp:anchor distT="0" distB="0" distL="114300" distR="114300" simplePos="0" relativeHeight="251664384" behindDoc="0" locked="0" layoutInCell="1" allowOverlap="1" wp14:anchorId="1368899D" wp14:editId="2C740967">
            <wp:simplePos x="0" y="0"/>
            <wp:positionH relativeFrom="column">
              <wp:posOffset>5212080</wp:posOffset>
            </wp:positionH>
            <wp:positionV relativeFrom="paragraph">
              <wp:posOffset>155575</wp:posOffset>
            </wp:positionV>
            <wp:extent cx="1440180" cy="2035175"/>
            <wp:effectExtent l="0" t="0" r="7620" b="3175"/>
            <wp:wrapSquare wrapText="bothSides"/>
            <wp:docPr id="5" name="Picture 5" descr="https://www.activemotif.com/images/products/nr_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ctivemotif.com/images/products/nr_sandwi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817">
        <w:t>An ELISA assay will be used for cellular LO-15 protein measurement using the ALOX15 kit produced by Wuhan USCN Business Co.</w:t>
      </w:r>
      <w:r w:rsidR="00CF72A7">
        <w:t xml:space="preserve"> </w:t>
      </w:r>
      <w:r w:rsidR="00EC6817" w:rsidRPr="00CF72A7">
        <w:rPr>
          <w:vertAlign w:val="superscript"/>
        </w:rPr>
        <w:t>[1</w:t>
      </w:r>
      <w:r w:rsidR="0062019A">
        <w:rPr>
          <w:vertAlign w:val="superscript"/>
        </w:rPr>
        <w:t>9</w:t>
      </w:r>
      <w:r w:rsidR="00EC6817" w:rsidRPr="00CF72A7">
        <w:rPr>
          <w:vertAlign w:val="superscript"/>
        </w:rPr>
        <w:t>]</w:t>
      </w:r>
      <w:r w:rsidR="00EC6817">
        <w:t xml:space="preserve"> </w:t>
      </w:r>
      <w:r w:rsidR="00A14CDA">
        <w:t>Confirmation that the target protein is present happens when the assay changes color due to the secondary antibody associated enzyme catalyzing conversion of the substrate into a colored product</w:t>
      </w:r>
      <w:r w:rsidR="002C44F0">
        <w:t xml:space="preserve"> (Figure 3)</w:t>
      </w:r>
      <w:r w:rsidR="00A14CDA">
        <w:t>.</w:t>
      </w:r>
      <w:r w:rsidR="008243F6">
        <w:t xml:space="preserve"> </w:t>
      </w:r>
      <w:r w:rsidR="0062019A">
        <w:rPr>
          <w:vertAlign w:val="superscript"/>
        </w:rPr>
        <w:t>[20</w:t>
      </w:r>
      <w:r w:rsidR="008243F6">
        <w:rPr>
          <w:vertAlign w:val="superscript"/>
        </w:rPr>
        <w:t>]</w:t>
      </w:r>
      <w:r w:rsidR="00A14CDA">
        <w:t xml:space="preserve"> </w:t>
      </w:r>
      <w:r w:rsidR="00285262">
        <w:t xml:space="preserve">The ELISA assay is very specific to the target protein, so it is unlikely for a non-target protein to bind. This is because the non-target protein would have to have the epitope for both the capture and detection antibodies (Figure 3). </w:t>
      </w:r>
      <w:r w:rsidR="001B29CB">
        <w:t>O</w:t>
      </w:r>
      <w:r w:rsidR="00BE7F3D">
        <w:t xml:space="preserve">ptical density, which is </w:t>
      </w:r>
      <w:r w:rsidR="00D343AF">
        <w:t>a logarithmic measure of the amount of light lost due to absorption when light passes through a medium</w:t>
      </w:r>
      <w:r w:rsidR="001B29CB">
        <w:t xml:space="preserve">, will </w:t>
      </w:r>
      <w:r w:rsidR="00A14CDA">
        <w:t xml:space="preserve">then </w:t>
      </w:r>
      <w:r w:rsidR="001B29CB">
        <w:t>be quantified for the sample</w:t>
      </w:r>
      <w:r w:rsidR="00BE7F3D">
        <w:t>. T</w:t>
      </w:r>
      <w:r w:rsidR="006277A6">
        <w:t>he r</w:t>
      </w:r>
      <w:r w:rsidR="00F770C2">
        <w:t>esults will be compared</w:t>
      </w:r>
      <w:r w:rsidR="006D0882">
        <w:t xml:space="preserve"> against the standard </w:t>
      </w:r>
      <w:r w:rsidR="0037119A">
        <w:t xml:space="preserve">optical density </w:t>
      </w:r>
      <w:r w:rsidR="006D0882">
        <w:t>curve p</w:t>
      </w:r>
      <w:r w:rsidR="004245D6">
        <w:t>rovided by the kit manufacturer to determine the concentration of the protein</w:t>
      </w:r>
      <w:r w:rsidR="00E6762F">
        <w:t xml:space="preserve"> (Figure 4)</w:t>
      </w:r>
      <w:r w:rsidR="004245D6">
        <w:t>.</w:t>
      </w:r>
      <w:r w:rsidR="006855DA">
        <w:t xml:space="preserve"> </w:t>
      </w:r>
    </w:p>
    <w:p w:rsidR="00B8621C" w:rsidRPr="006D0882" w:rsidRDefault="00AB4C84" w:rsidP="00DE09F7">
      <w:pPr>
        <w:spacing w:before="240" w:after="0"/>
      </w:pPr>
      <w:r w:rsidRPr="00B8621C">
        <w:rPr>
          <w:b/>
          <w:noProof/>
        </w:rPr>
        <mc:AlternateContent>
          <mc:Choice Requires="wps">
            <w:drawing>
              <wp:anchor distT="45720" distB="45720" distL="114300" distR="114300" simplePos="0" relativeHeight="251666432" behindDoc="0" locked="0" layoutInCell="1" allowOverlap="1" wp14:anchorId="58980D00" wp14:editId="5C378E6B">
                <wp:simplePos x="0" y="0"/>
                <wp:positionH relativeFrom="margin">
                  <wp:posOffset>289560</wp:posOffset>
                </wp:positionH>
                <wp:positionV relativeFrom="paragraph">
                  <wp:posOffset>2443480</wp:posOffset>
                </wp:positionV>
                <wp:extent cx="4579620" cy="541020"/>
                <wp:effectExtent l="0" t="0" r="114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541020"/>
                        </a:xfrm>
                        <a:prstGeom prst="rect">
                          <a:avLst/>
                        </a:prstGeom>
                        <a:solidFill>
                          <a:srgbClr val="FFFFFF"/>
                        </a:solidFill>
                        <a:ln w="9525">
                          <a:solidFill>
                            <a:srgbClr val="000000"/>
                          </a:solidFill>
                          <a:miter lim="800000"/>
                          <a:headEnd/>
                          <a:tailEnd/>
                        </a:ln>
                      </wps:spPr>
                      <wps:txbx>
                        <w:txbxContent>
                          <w:p w:rsidR="00B8621C" w:rsidRPr="00B8621C" w:rsidRDefault="00B8621C">
                            <w:pPr>
                              <w:rPr>
                                <w:sz w:val="20"/>
                                <w:szCs w:val="20"/>
                              </w:rPr>
                            </w:pPr>
                            <w:r w:rsidRPr="00B8621C">
                              <w:rPr>
                                <w:b/>
                                <w:sz w:val="20"/>
                                <w:szCs w:val="20"/>
                              </w:rPr>
                              <w:t>Figure 4</w:t>
                            </w:r>
                            <w:r w:rsidRPr="00B8621C">
                              <w:rPr>
                                <w:sz w:val="20"/>
                                <w:szCs w:val="20"/>
                              </w:rPr>
                              <w:t>: The standard curve provided by the manufacturer is used to determine protein concentration based on optical density.</w:t>
                            </w:r>
                            <w:r w:rsidR="00D343AF">
                              <w:rPr>
                                <w:sz w:val="20"/>
                                <w:szCs w:val="20"/>
                              </w:rPr>
                              <w:t xml:space="preserve"> Optical density is a logarithmic measure, so an OD of 3 means that the light was attenuated by a factor of 10</w:t>
                            </w:r>
                            <w:r w:rsidR="00D343AF">
                              <w:rPr>
                                <w:sz w:val="20"/>
                                <w:szCs w:val="20"/>
                                <w:vertAlign w:val="superscript"/>
                              </w:rPr>
                              <w:t>3</w:t>
                            </w:r>
                            <w:r w:rsidR="00D343AF">
                              <w:rPr>
                                <w:sz w:val="20"/>
                                <w:szCs w:val="20"/>
                              </w:rPr>
                              <w:t>.</w:t>
                            </w:r>
                            <w:r>
                              <w:rPr>
                                <w:sz w:val="20"/>
                                <w:szCs w:val="20"/>
                              </w:rPr>
                              <w:t xml:space="preserve"> </w:t>
                            </w:r>
                            <w:r w:rsidRPr="00B8621C">
                              <w:rPr>
                                <w:vertAlign w:val="superscript"/>
                              </w:rPr>
                              <w:t>[1</w:t>
                            </w:r>
                            <w:r w:rsidR="0062019A">
                              <w:rPr>
                                <w:vertAlign w:val="superscript"/>
                              </w:rPr>
                              <w:t>9</w:t>
                            </w:r>
                            <w:r w:rsidRPr="00B8621C">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80D00" id="_x0000_s1030" type="#_x0000_t202" style="position:absolute;margin-left:22.8pt;margin-top:192.4pt;width:360.6pt;height:42.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">
                <v:textbox>
                  <w:txbxContent>
                    <w:p w:rsidR="00B8621C" w:rsidRPr="00B8621C" w:rsidRDefault="00B8621C">
                      <w:pPr>
                        <w:rPr>
                          <w:sz w:val="20"/>
                          <w:szCs w:val="20"/>
                        </w:rPr>
                      </w:pPr>
                      <w:r w:rsidRPr="00B8621C">
                        <w:rPr>
                          <w:b/>
                          <w:sz w:val="20"/>
                          <w:szCs w:val="20"/>
                        </w:rPr>
                        <w:t>Figure 4</w:t>
                      </w:r>
                      <w:r w:rsidRPr="00B8621C">
                        <w:rPr>
                          <w:sz w:val="20"/>
                          <w:szCs w:val="20"/>
                        </w:rPr>
                        <w:t>: The standard curve provided by the manufacturer is used to determine protein concentration based on optical density.</w:t>
                      </w:r>
                      <w:r w:rsidR="00D343AF">
                        <w:rPr>
                          <w:sz w:val="20"/>
                          <w:szCs w:val="20"/>
                        </w:rPr>
                        <w:t xml:space="preserve"> Optical density is a logarithmic measure, so an OD of 3 means that the light was attenuated by a factor of 10</w:t>
                      </w:r>
                      <w:r w:rsidR="00D343AF">
                        <w:rPr>
                          <w:sz w:val="20"/>
                          <w:szCs w:val="20"/>
                          <w:vertAlign w:val="superscript"/>
                        </w:rPr>
                        <w:t>3</w:t>
                      </w:r>
                      <w:r w:rsidR="00D343AF">
                        <w:rPr>
                          <w:sz w:val="20"/>
                          <w:szCs w:val="20"/>
                        </w:rPr>
                        <w:t>.</w:t>
                      </w:r>
                      <w:r>
                        <w:rPr>
                          <w:sz w:val="20"/>
                          <w:szCs w:val="20"/>
                        </w:rPr>
                        <w:t xml:space="preserve"> </w:t>
                      </w:r>
                      <w:r w:rsidRPr="00B8621C">
                        <w:rPr>
                          <w:vertAlign w:val="superscript"/>
                        </w:rPr>
                        <w:t>[1</w:t>
                      </w:r>
                      <w:r w:rsidR="0062019A">
                        <w:rPr>
                          <w:vertAlign w:val="superscript"/>
                        </w:rPr>
                        <w:t>9</w:t>
                      </w:r>
                      <w:r w:rsidRPr="00B8621C">
                        <w:rPr>
                          <w:vertAlign w:val="superscript"/>
                        </w:rPr>
                        <w:t>]</w:t>
                      </w:r>
                    </w:p>
                  </w:txbxContent>
                </v:textbox>
                <w10:wrap type="square" anchorx="margin"/>
              </v:shape>
            </w:pict>
          </mc:Fallback>
        </mc:AlternateContent>
      </w:r>
      <w:r w:rsidR="004C24B8">
        <w:rPr>
          <w:noProof/>
        </w:rPr>
        <mc:AlternateContent>
          <mc:Choice Requires="wps">
            <w:drawing>
              <wp:anchor distT="45720" distB="45720" distL="114300" distR="114300" simplePos="0" relativeHeight="251660288" behindDoc="0" locked="0" layoutInCell="1" allowOverlap="1" wp14:anchorId="66D7307F" wp14:editId="686C7125">
                <wp:simplePos x="0" y="0"/>
                <wp:positionH relativeFrom="column">
                  <wp:posOffset>5021580</wp:posOffset>
                </wp:positionH>
                <wp:positionV relativeFrom="paragraph">
                  <wp:posOffset>444500</wp:posOffset>
                </wp:positionV>
                <wp:extent cx="1744980" cy="2910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910840"/>
                        </a:xfrm>
                        <a:prstGeom prst="rect">
                          <a:avLst/>
                        </a:prstGeom>
                        <a:solidFill>
                          <a:srgbClr val="FFFFFF"/>
                        </a:solidFill>
                        <a:ln w="9525">
                          <a:solidFill>
                            <a:srgbClr val="000000"/>
                          </a:solidFill>
                          <a:miter lim="800000"/>
                          <a:headEnd/>
                          <a:tailEnd/>
                        </a:ln>
                      </wps:spPr>
                      <wps:txbx>
                        <w:txbxContent>
                          <w:p w:rsidR="004A6B86" w:rsidRPr="001053F7" w:rsidRDefault="004A6B86">
                            <w:pPr>
                              <w:rPr>
                                <w:sz w:val="20"/>
                                <w:szCs w:val="20"/>
                              </w:rPr>
                            </w:pPr>
                            <w:r w:rsidRPr="001053F7">
                              <w:rPr>
                                <w:b/>
                                <w:sz w:val="20"/>
                                <w:szCs w:val="20"/>
                              </w:rPr>
                              <w:t>Figure 3</w:t>
                            </w:r>
                            <w:r w:rsidRPr="001053F7">
                              <w:rPr>
                                <w:sz w:val="20"/>
                                <w:szCs w:val="20"/>
                              </w:rPr>
                              <w:t>: The ELISA assay</w:t>
                            </w:r>
                            <w:r w:rsidR="008E0D3D" w:rsidRPr="001053F7">
                              <w:rPr>
                                <w:sz w:val="20"/>
                                <w:szCs w:val="20"/>
                              </w:rPr>
                              <w:t xml:space="preserve"> </w:t>
                            </w:r>
                            <w:r w:rsidR="008B734B" w:rsidRPr="001053F7">
                              <w:rPr>
                                <w:sz w:val="20"/>
                                <w:szCs w:val="20"/>
                              </w:rPr>
                              <w:t>uses</w:t>
                            </w:r>
                            <w:r w:rsidR="009B2BE4" w:rsidRPr="001053F7">
                              <w:rPr>
                                <w:sz w:val="20"/>
                                <w:szCs w:val="20"/>
                              </w:rPr>
                              <w:t xml:space="preserve"> an immobilized capture antibody to initially bind the target protein. A </w:t>
                            </w:r>
                            <w:r w:rsidR="00251B94">
                              <w:rPr>
                                <w:sz w:val="20"/>
                                <w:szCs w:val="20"/>
                              </w:rPr>
                              <w:t>detection</w:t>
                            </w:r>
                            <w:r w:rsidR="009B2BE4" w:rsidRPr="001053F7">
                              <w:rPr>
                                <w:sz w:val="20"/>
                                <w:szCs w:val="20"/>
                              </w:rPr>
                              <w:t xml:space="preserve"> </w:t>
                            </w:r>
                            <w:r w:rsidR="000C4D3D" w:rsidRPr="001053F7">
                              <w:rPr>
                                <w:sz w:val="20"/>
                                <w:szCs w:val="20"/>
                              </w:rPr>
                              <w:t>antibody then</w:t>
                            </w:r>
                            <w:r w:rsidR="00A758A6" w:rsidRPr="001053F7">
                              <w:rPr>
                                <w:sz w:val="20"/>
                                <w:szCs w:val="20"/>
                              </w:rPr>
                              <w:t xml:space="preserve"> binds to the protein, effectively “sandwiching” it between the first two antibodies. A </w:t>
                            </w:r>
                            <w:r w:rsidR="00251B94">
                              <w:rPr>
                                <w:sz w:val="20"/>
                                <w:szCs w:val="20"/>
                              </w:rPr>
                              <w:t>secondary</w:t>
                            </w:r>
                            <w:r w:rsidR="00A758A6" w:rsidRPr="001053F7">
                              <w:rPr>
                                <w:sz w:val="20"/>
                                <w:szCs w:val="20"/>
                              </w:rPr>
                              <w:t xml:space="preserve"> antibody with an enzyme bound to it then binds to the </w:t>
                            </w:r>
                            <w:r w:rsidR="00251B94">
                              <w:rPr>
                                <w:sz w:val="20"/>
                                <w:szCs w:val="20"/>
                              </w:rPr>
                              <w:t>detection</w:t>
                            </w:r>
                            <w:r w:rsidR="00A758A6" w:rsidRPr="001053F7">
                              <w:rPr>
                                <w:sz w:val="20"/>
                                <w:szCs w:val="20"/>
                              </w:rPr>
                              <w:t xml:space="preserve"> antibody. Upon addition of the substrate that the </w:t>
                            </w:r>
                            <w:r w:rsidR="00251B94">
                              <w:rPr>
                                <w:sz w:val="20"/>
                                <w:szCs w:val="20"/>
                              </w:rPr>
                              <w:t>secondary</w:t>
                            </w:r>
                            <w:r w:rsidR="00A758A6" w:rsidRPr="001053F7">
                              <w:rPr>
                                <w:sz w:val="20"/>
                                <w:szCs w:val="20"/>
                              </w:rPr>
                              <w:t xml:space="preserve"> antibody’s enzyme acts upon, the enzyme catalyzes conversion of the </w:t>
                            </w:r>
                            <w:r w:rsidR="00251B94">
                              <w:rPr>
                                <w:sz w:val="20"/>
                                <w:szCs w:val="20"/>
                              </w:rPr>
                              <w:t>substrate</w:t>
                            </w:r>
                            <w:r w:rsidR="00A758A6" w:rsidRPr="001053F7">
                              <w:rPr>
                                <w:sz w:val="20"/>
                                <w:szCs w:val="20"/>
                              </w:rPr>
                              <w:t xml:space="preserve"> </w:t>
                            </w:r>
                            <w:r w:rsidR="000C4D3D" w:rsidRPr="001053F7">
                              <w:rPr>
                                <w:sz w:val="20"/>
                                <w:szCs w:val="20"/>
                              </w:rPr>
                              <w:t xml:space="preserve">into a colored product </w:t>
                            </w:r>
                            <w:r w:rsidR="00A758A6" w:rsidRPr="001053F7">
                              <w:rPr>
                                <w:sz w:val="20"/>
                                <w:szCs w:val="20"/>
                              </w:rPr>
                              <w:t xml:space="preserve">and produces a distinct </w:t>
                            </w:r>
                            <w:r w:rsidR="00994326" w:rsidRPr="001053F7">
                              <w:rPr>
                                <w:sz w:val="20"/>
                                <w:szCs w:val="20"/>
                              </w:rPr>
                              <w:t>color.</w:t>
                            </w:r>
                            <w:r w:rsidR="00994326" w:rsidRPr="001053F7">
                              <w:rPr>
                                <w:sz w:val="20"/>
                                <w:szCs w:val="20"/>
                                <w:vertAlign w:val="superscript"/>
                              </w:rPr>
                              <w:t xml:space="preserve"> </w:t>
                            </w:r>
                            <w:r w:rsidR="0062019A">
                              <w:rPr>
                                <w:vertAlign w:val="superscript"/>
                              </w:rPr>
                              <w:t>[</w:t>
                            </w:r>
                            <w:proofErr w:type="gramStart"/>
                            <w:r w:rsidR="0062019A">
                              <w:rPr>
                                <w:vertAlign w:val="superscript"/>
                              </w:rPr>
                              <w:t>20</w:t>
                            </w:r>
                            <w:r w:rsidR="007F7A7B" w:rsidRPr="007F7A7B">
                              <w:rPr>
                                <w:vertAlign w:val="superscript"/>
                              </w:rPr>
                              <w:t>]</w:t>
                            </w:r>
                            <w:r w:rsidR="00994326" w:rsidRPr="007F7A7B">
                              <w:rPr>
                                <w:vertAlign w:val="superscript"/>
                              </w:rPr>
                              <w:t>[</w:t>
                            </w:r>
                            <w:proofErr w:type="gramEnd"/>
                            <w:r w:rsidR="0062019A">
                              <w:rPr>
                                <w:vertAlign w:val="superscript"/>
                              </w:rPr>
                              <w:t>21</w:t>
                            </w:r>
                            <w:r w:rsidR="000C4D3D" w:rsidRPr="00F77DF0">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7307F" id="_x0000_s1031" type="#_x0000_t202" style="position:absolute;margin-left:395.4pt;margin-top:35pt;width:137.4pt;height:2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">
                <v:textbox>
                  <w:txbxContent>
                    <w:p w:rsidR="004A6B86" w:rsidRPr="001053F7" w:rsidRDefault="004A6B86">
                      <w:pPr>
                        <w:rPr>
                          <w:sz w:val="20"/>
                          <w:szCs w:val="20"/>
                        </w:rPr>
                      </w:pPr>
                      <w:r w:rsidRPr="001053F7">
                        <w:rPr>
                          <w:b/>
                          <w:sz w:val="20"/>
                          <w:szCs w:val="20"/>
                        </w:rPr>
                        <w:t>Figure 3</w:t>
                      </w:r>
                      <w:r w:rsidRPr="001053F7">
                        <w:rPr>
                          <w:sz w:val="20"/>
                          <w:szCs w:val="20"/>
                        </w:rPr>
                        <w:t>: The ELISA assay</w:t>
                      </w:r>
                      <w:r w:rsidR="008E0D3D" w:rsidRPr="001053F7">
                        <w:rPr>
                          <w:sz w:val="20"/>
                          <w:szCs w:val="20"/>
                        </w:rPr>
                        <w:t xml:space="preserve"> </w:t>
                      </w:r>
                      <w:r w:rsidR="008B734B" w:rsidRPr="001053F7">
                        <w:rPr>
                          <w:sz w:val="20"/>
                          <w:szCs w:val="20"/>
                        </w:rPr>
                        <w:t>uses</w:t>
                      </w:r>
                      <w:r w:rsidR="009B2BE4" w:rsidRPr="001053F7">
                        <w:rPr>
                          <w:sz w:val="20"/>
                          <w:szCs w:val="20"/>
                        </w:rPr>
                        <w:t xml:space="preserve"> an immobilized capture antibody to initially bind the target protein. A </w:t>
                      </w:r>
                      <w:r w:rsidR="00251B94">
                        <w:rPr>
                          <w:sz w:val="20"/>
                          <w:szCs w:val="20"/>
                        </w:rPr>
                        <w:t>detection</w:t>
                      </w:r>
                      <w:r w:rsidR="009B2BE4" w:rsidRPr="001053F7">
                        <w:rPr>
                          <w:sz w:val="20"/>
                          <w:szCs w:val="20"/>
                        </w:rPr>
                        <w:t xml:space="preserve"> </w:t>
                      </w:r>
                      <w:r w:rsidR="000C4D3D" w:rsidRPr="001053F7">
                        <w:rPr>
                          <w:sz w:val="20"/>
                          <w:szCs w:val="20"/>
                        </w:rPr>
                        <w:t>antibody then</w:t>
                      </w:r>
                      <w:r w:rsidR="00A758A6" w:rsidRPr="001053F7">
                        <w:rPr>
                          <w:sz w:val="20"/>
                          <w:szCs w:val="20"/>
                        </w:rPr>
                        <w:t xml:space="preserve"> binds to the protein, effectively “sandwiching” it between the first two antibodies. A </w:t>
                      </w:r>
                      <w:r w:rsidR="00251B94">
                        <w:rPr>
                          <w:sz w:val="20"/>
                          <w:szCs w:val="20"/>
                        </w:rPr>
                        <w:t>secondary</w:t>
                      </w:r>
                      <w:r w:rsidR="00A758A6" w:rsidRPr="001053F7">
                        <w:rPr>
                          <w:sz w:val="20"/>
                          <w:szCs w:val="20"/>
                        </w:rPr>
                        <w:t xml:space="preserve"> antibody with an enzyme bound to it then binds to the </w:t>
                      </w:r>
                      <w:r w:rsidR="00251B94">
                        <w:rPr>
                          <w:sz w:val="20"/>
                          <w:szCs w:val="20"/>
                        </w:rPr>
                        <w:t>detection</w:t>
                      </w:r>
                      <w:r w:rsidR="00A758A6" w:rsidRPr="001053F7">
                        <w:rPr>
                          <w:sz w:val="20"/>
                          <w:szCs w:val="20"/>
                        </w:rPr>
                        <w:t xml:space="preserve"> antibody. Upon addition of the substrate that the </w:t>
                      </w:r>
                      <w:r w:rsidR="00251B94">
                        <w:rPr>
                          <w:sz w:val="20"/>
                          <w:szCs w:val="20"/>
                        </w:rPr>
                        <w:t>secondary</w:t>
                      </w:r>
                      <w:r w:rsidR="00A758A6" w:rsidRPr="001053F7">
                        <w:rPr>
                          <w:sz w:val="20"/>
                          <w:szCs w:val="20"/>
                        </w:rPr>
                        <w:t xml:space="preserve"> antibody’s enzyme acts upon, the enzyme catalyzes conversion of the </w:t>
                      </w:r>
                      <w:r w:rsidR="00251B94">
                        <w:rPr>
                          <w:sz w:val="20"/>
                          <w:szCs w:val="20"/>
                        </w:rPr>
                        <w:t>substrate</w:t>
                      </w:r>
                      <w:r w:rsidR="00A758A6" w:rsidRPr="001053F7">
                        <w:rPr>
                          <w:sz w:val="20"/>
                          <w:szCs w:val="20"/>
                        </w:rPr>
                        <w:t xml:space="preserve"> </w:t>
                      </w:r>
                      <w:r w:rsidR="000C4D3D" w:rsidRPr="001053F7">
                        <w:rPr>
                          <w:sz w:val="20"/>
                          <w:szCs w:val="20"/>
                        </w:rPr>
                        <w:t xml:space="preserve">into a colored product </w:t>
                      </w:r>
                      <w:r w:rsidR="00A758A6" w:rsidRPr="001053F7">
                        <w:rPr>
                          <w:sz w:val="20"/>
                          <w:szCs w:val="20"/>
                        </w:rPr>
                        <w:t xml:space="preserve">and produces a distinct </w:t>
                      </w:r>
                      <w:r w:rsidR="00994326" w:rsidRPr="001053F7">
                        <w:rPr>
                          <w:sz w:val="20"/>
                          <w:szCs w:val="20"/>
                        </w:rPr>
                        <w:t>color.</w:t>
                      </w:r>
                      <w:r w:rsidR="00994326" w:rsidRPr="001053F7">
                        <w:rPr>
                          <w:sz w:val="20"/>
                          <w:szCs w:val="20"/>
                          <w:vertAlign w:val="superscript"/>
                        </w:rPr>
                        <w:t xml:space="preserve"> </w:t>
                      </w:r>
                      <w:r w:rsidR="0062019A">
                        <w:rPr>
                          <w:vertAlign w:val="superscript"/>
                        </w:rPr>
                        <w:t>[</w:t>
                      </w:r>
                      <w:proofErr w:type="gramStart"/>
                      <w:r w:rsidR="0062019A">
                        <w:rPr>
                          <w:vertAlign w:val="superscript"/>
                        </w:rPr>
                        <w:t>20</w:t>
                      </w:r>
                      <w:r w:rsidR="007F7A7B" w:rsidRPr="007F7A7B">
                        <w:rPr>
                          <w:vertAlign w:val="superscript"/>
                        </w:rPr>
                        <w:t>]</w:t>
                      </w:r>
                      <w:r w:rsidR="00994326" w:rsidRPr="007F7A7B">
                        <w:rPr>
                          <w:vertAlign w:val="superscript"/>
                        </w:rPr>
                        <w:t>[</w:t>
                      </w:r>
                      <w:proofErr w:type="gramEnd"/>
                      <w:r w:rsidR="0062019A">
                        <w:rPr>
                          <w:vertAlign w:val="superscript"/>
                        </w:rPr>
                        <w:t>21</w:t>
                      </w:r>
                      <w:r w:rsidR="000C4D3D" w:rsidRPr="00F77DF0">
                        <w:rPr>
                          <w:vertAlign w:val="superscript"/>
                        </w:rPr>
                        <w:t>]</w:t>
                      </w:r>
                    </w:p>
                  </w:txbxContent>
                </v:textbox>
                <w10:wrap type="square"/>
              </v:shape>
            </w:pict>
          </mc:Fallback>
        </mc:AlternateContent>
      </w:r>
      <w:r w:rsidRPr="00AB4C84">
        <w:rPr>
          <w:b/>
          <w:noProof/>
        </w:rPr>
        <w:t xml:space="preserve"> </w:t>
      </w:r>
    </w:p>
    <w:p w:rsidR="00CE570E" w:rsidRDefault="00CE570E" w:rsidP="00DE09F7">
      <w:pPr>
        <w:spacing w:before="240" w:after="0"/>
        <w:rPr>
          <w:b/>
        </w:rPr>
      </w:pPr>
    </w:p>
    <w:p w:rsidR="00847E4E" w:rsidRDefault="00DE09F7" w:rsidP="00DE09F7">
      <w:pPr>
        <w:spacing w:before="240" w:after="0"/>
        <w:rPr>
          <w:b/>
        </w:rPr>
      </w:pPr>
      <w:r w:rsidRPr="00DE09F7">
        <w:rPr>
          <w:b/>
        </w:rPr>
        <w:t>III. Discussion</w:t>
      </w:r>
    </w:p>
    <w:p w:rsidR="00975435" w:rsidRDefault="001F5F0A" w:rsidP="00E06FED">
      <w:pPr>
        <w:spacing w:before="240" w:after="0"/>
      </w:pPr>
      <w:r>
        <w:t xml:space="preserve">Ideally, there will be a significant increase in </w:t>
      </w:r>
      <w:r w:rsidR="00E06FED">
        <w:t xml:space="preserve">ALOX15 </w:t>
      </w:r>
      <w:r>
        <w:t xml:space="preserve">fluorescence in the qPCR for wounds undergoing negative pressure therapy when compared with wounds at ambient pressure. </w:t>
      </w:r>
      <w:r w:rsidR="00F00B33">
        <w:t>The Cyclophilin E expression should remain stable and the ALOX15 expres</w:t>
      </w:r>
      <w:r w:rsidR="00785921">
        <w:t xml:space="preserve">sion should increase under NPWT if the negative pressure has an effect on the ALOX15 gene expression. </w:t>
      </w:r>
      <w:r w:rsidR="00E06FED">
        <w:t xml:space="preserve">The two negative controls for the qPCR assay should result in no fluorescence and the two positive controls should result in </w:t>
      </w:r>
      <w:r w:rsidR="00BB611E">
        <w:t>measureable</w:t>
      </w:r>
      <w:r w:rsidR="00E06FED">
        <w:t xml:space="preserve"> fluorescence. </w:t>
      </w:r>
      <w:r w:rsidR="00AB3ABB">
        <w:t>Furthermore</w:t>
      </w:r>
      <w:r w:rsidR="00E06FED">
        <w:t>, the ELISA assay should show a color change for the ALOX15 and the concentration of 15-lipoxygenase as determined by optical density should increase under NPWT when compared with the concentration at ambient pressure.</w:t>
      </w:r>
    </w:p>
    <w:p w:rsidR="004B6781" w:rsidRPr="004B6781" w:rsidRDefault="004B6781" w:rsidP="00E06FED">
      <w:pPr>
        <w:spacing w:before="240" w:after="0"/>
      </w:pPr>
      <w:r>
        <w:lastRenderedPageBreak/>
        <w:t xml:space="preserve">If any of the experimental controls prove to be unreliable, it will be very hard to interpret the results. </w:t>
      </w:r>
      <w:r w:rsidR="007B3D83">
        <w:t xml:space="preserve">If the negative controls in the qPCR </w:t>
      </w:r>
      <w:r w:rsidR="001C0425">
        <w:t xml:space="preserve">show increases in fluorescence, it is likely that there is DNA contamination in the sample or reagents. </w:t>
      </w:r>
      <w:r w:rsidR="002B51A4">
        <w:t>If the positive control containing known RNA does not fluoresce, the reverse transcription step of the qPCR could not be working. If the known DNA positive control is negative, there is likely an issue with the polymerase chain reaction step.</w:t>
      </w:r>
      <w:r w:rsidR="00951E4A">
        <w:t xml:space="preserve"> </w:t>
      </w:r>
      <w:r w:rsidR="00097CFC">
        <w:t xml:space="preserve">As the reference gene, the Cyclophilin E must remain relatively constant or the results cannot be interpreted accurately. </w:t>
      </w:r>
      <w:r w:rsidR="00AB3ABB">
        <w:t>Moreover</w:t>
      </w:r>
      <w:r w:rsidR="00BC489A">
        <w:t>, wound environments vary widely from patient to patient and the results can be hard to compare directly.</w:t>
      </w:r>
      <w:r w:rsidR="006B23CE">
        <w:t xml:space="preserve"> </w:t>
      </w:r>
      <w:r w:rsidR="007E3A81">
        <w:rPr>
          <w:vertAlign w:val="superscript"/>
        </w:rPr>
        <w:t>[22</w:t>
      </w:r>
      <w:r w:rsidR="006B23CE">
        <w:rPr>
          <w:vertAlign w:val="superscript"/>
        </w:rPr>
        <w:t>]</w:t>
      </w:r>
      <w:r w:rsidR="00D813E0">
        <w:t xml:space="preserve"> </w:t>
      </w:r>
    </w:p>
    <w:p w:rsidR="00623F8B" w:rsidRDefault="00623F8B" w:rsidP="00E06FED">
      <w:pPr>
        <w:spacing w:before="240" w:after="0"/>
      </w:pPr>
      <w:r>
        <w:t xml:space="preserve">Despite these difficulties, </w:t>
      </w:r>
      <w:r w:rsidR="008A06E2">
        <w:t xml:space="preserve">it is important to understand the effect of negative pressure therapy on 15-lipoxygenase expression so that the molecular mechanism of NPWT can be further elucidated. The more we understand about the treatment, the more useful and refined its applications become. </w:t>
      </w:r>
      <w:r w:rsidR="0041360E">
        <w:t xml:space="preserve">This research stands to benefit our understanding of the treatment of chronic wounds, which continue to be a common malady burdening our healthcare system. </w:t>
      </w:r>
      <w:r w:rsidR="00E6489B">
        <w:t>If NPWT does indeed effect the expression of 15-lipoxygena</w:t>
      </w:r>
      <w:r w:rsidR="0041360E">
        <w:t>se, further research can be conducted</w:t>
      </w:r>
      <w:r w:rsidR="00E6489B">
        <w:t xml:space="preserve"> to investigate the mechanism by which it accomplishes the </w:t>
      </w:r>
      <w:r w:rsidR="0060289E">
        <w:t>shift</w:t>
      </w:r>
      <w:r w:rsidR="00E6489B">
        <w:t xml:space="preserve">. </w:t>
      </w:r>
    </w:p>
    <w:p w:rsidR="00AA3B3C" w:rsidRDefault="00AA3B3C">
      <w:pPr>
        <w:rPr>
          <w:b/>
        </w:rPr>
      </w:pPr>
      <w:r>
        <w:rPr>
          <w:b/>
        </w:rPr>
        <w:br w:type="page"/>
      </w:r>
    </w:p>
    <w:p w:rsidR="0062019A" w:rsidRPr="009B1D11" w:rsidRDefault="0062019A" w:rsidP="0062019A">
      <w:pPr>
        <w:jc w:val="center"/>
        <w:rPr>
          <w:b/>
        </w:rPr>
      </w:pPr>
      <w:r w:rsidRPr="00DE09F7">
        <w:rPr>
          <w:b/>
        </w:rPr>
        <w:lastRenderedPageBreak/>
        <w:t>References</w:t>
      </w:r>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 </w:t>
      </w:r>
      <w:proofErr w:type="spellStart"/>
      <w:r w:rsidRPr="004446A4">
        <w:rPr>
          <w:color w:val="000000"/>
          <w:sz w:val="20"/>
          <w:szCs w:val="20"/>
          <w:shd w:val="clear" w:color="auto" w:fill="FFFFFF"/>
        </w:rPr>
        <w:t>Branski</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Ludwik</w:t>
      </w:r>
      <w:proofErr w:type="spellEnd"/>
      <w:r w:rsidRPr="004446A4">
        <w:rPr>
          <w:color w:val="000000"/>
          <w:sz w:val="20"/>
          <w:szCs w:val="20"/>
          <w:shd w:val="clear" w:color="auto" w:fill="FFFFFF"/>
        </w:rPr>
        <w:t xml:space="preserve"> K., </w:t>
      </w:r>
      <w:proofErr w:type="spellStart"/>
      <w:r w:rsidRPr="004446A4">
        <w:rPr>
          <w:color w:val="000000"/>
          <w:sz w:val="20"/>
          <w:szCs w:val="20"/>
          <w:shd w:val="clear" w:color="auto" w:fill="FFFFFF"/>
        </w:rPr>
        <w:t>Gauglitz</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Gerd</w:t>
      </w:r>
      <w:proofErr w:type="spellEnd"/>
      <w:r w:rsidRPr="004446A4">
        <w:rPr>
          <w:color w:val="000000"/>
          <w:sz w:val="20"/>
          <w:szCs w:val="20"/>
          <w:shd w:val="clear" w:color="auto" w:fill="FFFFFF"/>
        </w:rPr>
        <w:t xml:space="preserve"> G., Herndon, David N., &amp; </w:t>
      </w:r>
      <w:proofErr w:type="spellStart"/>
      <w:r w:rsidRPr="004446A4">
        <w:rPr>
          <w:color w:val="000000"/>
          <w:sz w:val="20"/>
          <w:szCs w:val="20"/>
          <w:shd w:val="clear" w:color="auto" w:fill="FFFFFF"/>
        </w:rPr>
        <w:t>Jeschke</w:t>
      </w:r>
      <w:proofErr w:type="spellEnd"/>
      <w:r w:rsidRPr="004446A4">
        <w:rPr>
          <w:color w:val="000000"/>
          <w:sz w:val="20"/>
          <w:szCs w:val="20"/>
          <w:shd w:val="clear" w:color="auto" w:fill="FFFFFF"/>
        </w:rPr>
        <w:t>, Marc G. (2009). A review of gene and stem cell therapy in cutaneous wound healing.</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Burns,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35</w:t>
      </w:r>
      <w:r w:rsidRPr="004446A4">
        <w:rPr>
          <w:color w:val="000000"/>
          <w:sz w:val="20"/>
          <w:szCs w:val="20"/>
          <w:shd w:val="clear" w:color="auto" w:fill="FFFFFF"/>
        </w:rPr>
        <w:t xml:space="preserve">(2), 171-180. </w:t>
      </w:r>
      <w:hyperlink r:id="rId12" w:history="1">
        <w:r w:rsidRPr="004446A4">
          <w:rPr>
            <w:rStyle w:val="Hyperlink"/>
            <w:sz w:val="20"/>
            <w:szCs w:val="20"/>
            <w:shd w:val="clear" w:color="auto" w:fill="FFFFFF"/>
          </w:rPr>
          <w:t>http://www.sciencedirect.com.proxy.library.vcu.edu/science/article/pii/S0305417908000946</w:t>
        </w:r>
      </w:hyperlink>
    </w:p>
    <w:p w:rsidR="0062019A" w:rsidRPr="004446A4" w:rsidRDefault="0062019A" w:rsidP="0062019A">
      <w:pPr>
        <w:rPr>
          <w:rFonts w:eastAsia="Times New Roman" w:cs="Times New Roman"/>
          <w:sz w:val="20"/>
          <w:szCs w:val="20"/>
        </w:rPr>
      </w:pPr>
      <w:r w:rsidRPr="004446A4">
        <w:rPr>
          <w:color w:val="000000"/>
          <w:sz w:val="20"/>
          <w:szCs w:val="20"/>
          <w:shd w:val="clear" w:color="auto" w:fill="FFFFFF"/>
        </w:rPr>
        <w:t xml:space="preserve">2. </w:t>
      </w:r>
      <w:r w:rsidRPr="004446A4">
        <w:rPr>
          <w:rFonts w:eastAsia="Times New Roman" w:cs="Times New Roman"/>
          <w:sz w:val="20"/>
          <w:szCs w:val="20"/>
        </w:rPr>
        <w:t>Wound healing 2014.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30, 2016, from http://www.slideshare.net/ChuchaiSornchumni/wound-healing-2014 </w:t>
      </w:r>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3. </w:t>
      </w:r>
      <w:proofErr w:type="spellStart"/>
      <w:r w:rsidRPr="004446A4">
        <w:rPr>
          <w:color w:val="000000"/>
          <w:sz w:val="20"/>
          <w:szCs w:val="20"/>
          <w:shd w:val="clear" w:color="auto" w:fill="FFFFFF"/>
        </w:rPr>
        <w:t>Schreml</w:t>
      </w:r>
      <w:proofErr w:type="spellEnd"/>
      <w:r w:rsidRPr="004446A4">
        <w:rPr>
          <w:color w:val="000000"/>
          <w:sz w:val="20"/>
          <w:szCs w:val="20"/>
          <w:shd w:val="clear" w:color="auto" w:fill="FFFFFF"/>
        </w:rPr>
        <w:t xml:space="preserve">, Stephan, </w:t>
      </w:r>
      <w:proofErr w:type="spellStart"/>
      <w:r w:rsidRPr="004446A4">
        <w:rPr>
          <w:color w:val="000000"/>
          <w:sz w:val="20"/>
          <w:szCs w:val="20"/>
          <w:shd w:val="clear" w:color="auto" w:fill="FFFFFF"/>
        </w:rPr>
        <w:t>Szeimies</w:t>
      </w:r>
      <w:proofErr w:type="spellEnd"/>
      <w:r w:rsidRPr="004446A4">
        <w:rPr>
          <w:color w:val="000000"/>
          <w:sz w:val="20"/>
          <w:szCs w:val="20"/>
          <w:shd w:val="clear" w:color="auto" w:fill="FFFFFF"/>
        </w:rPr>
        <w:t xml:space="preserve">, Rolf-Markus, </w:t>
      </w:r>
      <w:proofErr w:type="spellStart"/>
      <w:r w:rsidRPr="004446A4">
        <w:rPr>
          <w:color w:val="000000"/>
          <w:sz w:val="20"/>
          <w:szCs w:val="20"/>
          <w:shd w:val="clear" w:color="auto" w:fill="FFFFFF"/>
        </w:rPr>
        <w:t>Prantl</w:t>
      </w:r>
      <w:proofErr w:type="spellEnd"/>
      <w:r w:rsidRPr="004446A4">
        <w:rPr>
          <w:color w:val="000000"/>
          <w:sz w:val="20"/>
          <w:szCs w:val="20"/>
          <w:shd w:val="clear" w:color="auto" w:fill="FFFFFF"/>
        </w:rPr>
        <w:t xml:space="preserve">, Lukas, </w:t>
      </w:r>
      <w:proofErr w:type="spellStart"/>
      <w:r w:rsidRPr="004446A4">
        <w:rPr>
          <w:color w:val="000000"/>
          <w:sz w:val="20"/>
          <w:szCs w:val="20"/>
          <w:shd w:val="clear" w:color="auto" w:fill="FFFFFF"/>
        </w:rPr>
        <w:t>Landthaler</w:t>
      </w:r>
      <w:proofErr w:type="spellEnd"/>
      <w:r w:rsidRPr="004446A4">
        <w:rPr>
          <w:color w:val="000000"/>
          <w:sz w:val="20"/>
          <w:szCs w:val="20"/>
          <w:shd w:val="clear" w:color="auto" w:fill="FFFFFF"/>
        </w:rPr>
        <w:t xml:space="preserve">, Michael, &amp; </w:t>
      </w:r>
      <w:proofErr w:type="spellStart"/>
      <w:r w:rsidRPr="004446A4">
        <w:rPr>
          <w:color w:val="000000"/>
          <w:sz w:val="20"/>
          <w:szCs w:val="20"/>
          <w:shd w:val="clear" w:color="auto" w:fill="FFFFFF"/>
        </w:rPr>
        <w:t>Babilas</w:t>
      </w:r>
      <w:proofErr w:type="spellEnd"/>
      <w:r w:rsidRPr="004446A4">
        <w:rPr>
          <w:color w:val="000000"/>
          <w:sz w:val="20"/>
          <w:szCs w:val="20"/>
          <w:shd w:val="clear" w:color="auto" w:fill="FFFFFF"/>
        </w:rPr>
        <w:t>, Philipp. (2010). Wound healing in the 21st century.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Journal of the American Academy of Dermatology,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63</w:t>
      </w:r>
      <w:r w:rsidRPr="004446A4">
        <w:rPr>
          <w:color w:val="000000"/>
          <w:sz w:val="20"/>
          <w:szCs w:val="20"/>
          <w:shd w:val="clear" w:color="auto" w:fill="FFFFFF"/>
        </w:rPr>
        <w:t xml:space="preserve">(5), 866-881. </w:t>
      </w:r>
      <w:hyperlink r:id="rId13" w:history="1">
        <w:r w:rsidRPr="004446A4">
          <w:rPr>
            <w:rStyle w:val="Hyperlink"/>
            <w:sz w:val="20"/>
            <w:szCs w:val="20"/>
            <w:shd w:val="clear" w:color="auto" w:fill="FFFFFF"/>
          </w:rPr>
          <w:t>http://www.sciencedirect.com.proxy.library.vcu.edu/science/article/pii/S0190962209014996</w:t>
        </w:r>
      </w:hyperlink>
    </w:p>
    <w:p w:rsidR="0062019A" w:rsidRPr="004446A4" w:rsidRDefault="0062019A" w:rsidP="0062019A">
      <w:pPr>
        <w:rPr>
          <w:rFonts w:cs="Helvetica"/>
          <w:color w:val="000000"/>
          <w:sz w:val="20"/>
          <w:szCs w:val="20"/>
          <w:shd w:val="clear" w:color="auto" w:fill="FFFFFF"/>
        </w:rPr>
      </w:pPr>
      <w:r w:rsidRPr="004446A4">
        <w:rPr>
          <w:rFonts w:eastAsia="Times New Roman" w:cs="Times New Roman"/>
          <w:sz w:val="20"/>
          <w:szCs w:val="20"/>
        </w:rPr>
        <w:t xml:space="preserve">4. </w:t>
      </w:r>
      <w:proofErr w:type="spellStart"/>
      <w:r w:rsidRPr="004446A4">
        <w:rPr>
          <w:rFonts w:cs="Helvetica"/>
          <w:color w:val="000000"/>
          <w:sz w:val="20"/>
          <w:szCs w:val="20"/>
          <w:shd w:val="clear" w:color="auto" w:fill="FFFFFF"/>
        </w:rPr>
        <w:t>Serhan</w:t>
      </w:r>
      <w:proofErr w:type="spellEnd"/>
      <w:r w:rsidRPr="004446A4">
        <w:rPr>
          <w:rFonts w:cs="Helvetica"/>
          <w:color w:val="000000"/>
          <w:sz w:val="20"/>
          <w:szCs w:val="20"/>
          <w:shd w:val="clear" w:color="auto" w:fill="FFFFFF"/>
        </w:rPr>
        <w:t xml:space="preserve">, C. (2007). Resolution phase of inflammation: Novel endogenous anti-inflammatory and </w:t>
      </w:r>
      <w:proofErr w:type="spellStart"/>
      <w:r w:rsidRPr="004446A4">
        <w:rPr>
          <w:rFonts w:cs="Helvetica"/>
          <w:color w:val="000000"/>
          <w:sz w:val="20"/>
          <w:szCs w:val="20"/>
          <w:shd w:val="clear" w:color="auto" w:fill="FFFFFF"/>
        </w:rPr>
        <w:t>proresolving</w:t>
      </w:r>
      <w:proofErr w:type="spellEnd"/>
      <w:r w:rsidRPr="004446A4">
        <w:rPr>
          <w:rFonts w:cs="Helvetica"/>
          <w:color w:val="000000"/>
          <w:sz w:val="20"/>
          <w:szCs w:val="20"/>
          <w:shd w:val="clear" w:color="auto" w:fill="FFFFFF"/>
        </w:rPr>
        <w:t xml:space="preserve"> lipid mediators and pathways.</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Annual Review of Immunology,</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25</w:t>
      </w:r>
      <w:r w:rsidRPr="004446A4">
        <w:rPr>
          <w:rFonts w:cs="Helvetica"/>
          <w:color w:val="000000"/>
          <w:sz w:val="20"/>
          <w:szCs w:val="20"/>
          <w:shd w:val="clear" w:color="auto" w:fill="FFFFFF"/>
        </w:rPr>
        <w:t xml:space="preserve">, 101-37. </w:t>
      </w:r>
      <w:hyperlink r:id="rId14" w:history="1">
        <w:r w:rsidRPr="004446A4">
          <w:rPr>
            <w:rStyle w:val="Hyperlink"/>
            <w:rFonts w:cs="Helvetica"/>
            <w:sz w:val="20"/>
            <w:szCs w:val="20"/>
            <w:shd w:val="clear" w:color="auto" w:fill="FFFFFF"/>
          </w:rPr>
          <w:t>http://www.annualreviews.org.proxy.library.vcu.edu/doi/abs/10.1146/annurev.immunol.25.022106.141647</w:t>
        </w:r>
      </w:hyperlink>
    </w:p>
    <w:p w:rsidR="0062019A" w:rsidRPr="004446A4" w:rsidRDefault="0062019A" w:rsidP="0062019A">
      <w:pPr>
        <w:rPr>
          <w:rFonts w:cs="Helvetica"/>
          <w:color w:val="000000"/>
          <w:sz w:val="20"/>
          <w:szCs w:val="20"/>
          <w:shd w:val="clear" w:color="auto" w:fill="FFFFFF"/>
        </w:rPr>
      </w:pPr>
      <w:r w:rsidRPr="004446A4">
        <w:rPr>
          <w:rFonts w:cs="Helvetica"/>
          <w:color w:val="000000"/>
          <w:sz w:val="20"/>
          <w:szCs w:val="20"/>
          <w:shd w:val="clear" w:color="auto" w:fill="FFFFFF"/>
        </w:rPr>
        <w:t xml:space="preserve">5. Chiang, N., </w:t>
      </w:r>
      <w:proofErr w:type="spellStart"/>
      <w:r w:rsidRPr="004446A4">
        <w:rPr>
          <w:rFonts w:cs="Helvetica"/>
          <w:color w:val="000000"/>
          <w:sz w:val="20"/>
          <w:szCs w:val="20"/>
          <w:shd w:val="clear" w:color="auto" w:fill="FFFFFF"/>
        </w:rPr>
        <w:t>Arita</w:t>
      </w:r>
      <w:proofErr w:type="spellEnd"/>
      <w:r w:rsidRPr="004446A4">
        <w:rPr>
          <w:rFonts w:cs="Helvetica"/>
          <w:color w:val="000000"/>
          <w:sz w:val="20"/>
          <w:szCs w:val="20"/>
          <w:shd w:val="clear" w:color="auto" w:fill="FFFFFF"/>
        </w:rPr>
        <w:t xml:space="preserve">, M., &amp; </w:t>
      </w:r>
      <w:proofErr w:type="spellStart"/>
      <w:r w:rsidRPr="004446A4">
        <w:rPr>
          <w:rFonts w:cs="Helvetica"/>
          <w:color w:val="000000"/>
          <w:sz w:val="20"/>
          <w:szCs w:val="20"/>
          <w:shd w:val="clear" w:color="auto" w:fill="FFFFFF"/>
        </w:rPr>
        <w:t>Serhan</w:t>
      </w:r>
      <w:proofErr w:type="spellEnd"/>
      <w:r w:rsidRPr="004446A4">
        <w:rPr>
          <w:rFonts w:cs="Helvetica"/>
          <w:color w:val="000000"/>
          <w:sz w:val="20"/>
          <w:szCs w:val="20"/>
          <w:shd w:val="clear" w:color="auto" w:fill="FFFFFF"/>
        </w:rPr>
        <w:t>, C. (2005). Anti-inflammatory circuitry: Lipoxin, aspirin-triggered lipoxins and their receptor ALX.</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Prostaglandins, Leukotrienes, and Essential Fatty Acids,</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73</w:t>
      </w:r>
      <w:r w:rsidRPr="004446A4">
        <w:rPr>
          <w:rFonts w:cs="Helvetica"/>
          <w:color w:val="000000"/>
          <w:sz w:val="20"/>
          <w:szCs w:val="20"/>
          <w:shd w:val="clear" w:color="auto" w:fill="FFFFFF"/>
        </w:rPr>
        <w:t xml:space="preserve">(3-4), 163-77. </w:t>
      </w:r>
      <w:hyperlink r:id="rId15" w:history="1">
        <w:r w:rsidRPr="004446A4">
          <w:rPr>
            <w:rStyle w:val="Hyperlink"/>
            <w:rFonts w:cs="Helvetica"/>
            <w:sz w:val="20"/>
            <w:szCs w:val="20"/>
            <w:shd w:val="clear" w:color="auto" w:fill="FFFFFF"/>
          </w:rPr>
          <w:t>http://www.sciencedirect.com.proxy.library.vcu.edu/science/article/pii/S0952327805000815</w:t>
        </w:r>
      </w:hyperlink>
    </w:p>
    <w:p w:rsidR="0062019A" w:rsidRPr="004446A4" w:rsidRDefault="0062019A" w:rsidP="0062019A">
      <w:pPr>
        <w:rPr>
          <w:rFonts w:cs="Helvetica"/>
          <w:color w:val="000000"/>
          <w:sz w:val="20"/>
          <w:szCs w:val="20"/>
          <w:shd w:val="clear" w:color="auto" w:fill="FFFFFF"/>
        </w:rPr>
      </w:pPr>
      <w:r w:rsidRPr="004446A4">
        <w:rPr>
          <w:rFonts w:cs="Helvetica"/>
          <w:color w:val="000000"/>
          <w:sz w:val="20"/>
          <w:szCs w:val="20"/>
          <w:shd w:val="clear" w:color="auto" w:fill="FFFFFF"/>
        </w:rPr>
        <w:t xml:space="preserve">6. </w:t>
      </w:r>
      <w:proofErr w:type="spellStart"/>
      <w:r w:rsidRPr="004446A4">
        <w:rPr>
          <w:rFonts w:cs="Helvetica"/>
          <w:color w:val="000000"/>
          <w:sz w:val="20"/>
          <w:szCs w:val="20"/>
          <w:shd w:val="clear" w:color="auto" w:fill="FFFFFF"/>
        </w:rPr>
        <w:t>Serhan</w:t>
      </w:r>
      <w:proofErr w:type="spellEnd"/>
      <w:r w:rsidRPr="004446A4">
        <w:rPr>
          <w:rFonts w:cs="Helvetica"/>
          <w:color w:val="000000"/>
          <w:sz w:val="20"/>
          <w:szCs w:val="20"/>
          <w:shd w:val="clear" w:color="auto" w:fill="FFFFFF"/>
        </w:rPr>
        <w:t xml:space="preserve">, C., </w:t>
      </w:r>
      <w:proofErr w:type="spellStart"/>
      <w:r w:rsidRPr="004446A4">
        <w:rPr>
          <w:rFonts w:cs="Helvetica"/>
          <w:color w:val="000000"/>
          <w:sz w:val="20"/>
          <w:szCs w:val="20"/>
          <w:shd w:val="clear" w:color="auto" w:fill="FFFFFF"/>
        </w:rPr>
        <w:t>Hamberg</w:t>
      </w:r>
      <w:proofErr w:type="spellEnd"/>
      <w:r w:rsidRPr="004446A4">
        <w:rPr>
          <w:rFonts w:cs="Helvetica"/>
          <w:color w:val="000000"/>
          <w:sz w:val="20"/>
          <w:szCs w:val="20"/>
          <w:shd w:val="clear" w:color="auto" w:fill="FFFFFF"/>
        </w:rPr>
        <w:t>, M., &amp; Samuelsson, B. (1984). Lipoxins: Novel Series of Biologically Active Compounds Formed from Arachidonic Acid in Human Leukocytes.</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Proceedings of the National Academy of Sciences of the United States of America,81</w:t>
      </w:r>
      <w:r w:rsidRPr="004446A4">
        <w:rPr>
          <w:rFonts w:cs="Helvetica"/>
          <w:color w:val="000000"/>
          <w:sz w:val="20"/>
          <w:szCs w:val="20"/>
          <w:shd w:val="clear" w:color="auto" w:fill="FFFFFF"/>
        </w:rPr>
        <w:t xml:space="preserve">(17), 5335-5339. </w:t>
      </w:r>
      <w:hyperlink r:id="rId16" w:history="1">
        <w:r w:rsidRPr="004446A4">
          <w:rPr>
            <w:rStyle w:val="Hyperlink"/>
            <w:rFonts w:cs="Helvetica"/>
            <w:sz w:val="20"/>
            <w:szCs w:val="20"/>
            <w:shd w:val="clear" w:color="auto" w:fill="FFFFFF"/>
          </w:rPr>
          <w:t>http://www-ncbi-nlm-nih-gov.proxy.library.vcu.edu/pmc/articles/PMC391698/</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7. Godson, C., Mitchell, S., Harvey, K., </w:t>
      </w:r>
      <w:proofErr w:type="spellStart"/>
      <w:r w:rsidRPr="004446A4">
        <w:rPr>
          <w:color w:val="000000"/>
          <w:sz w:val="20"/>
          <w:szCs w:val="20"/>
          <w:shd w:val="clear" w:color="auto" w:fill="FFFFFF"/>
        </w:rPr>
        <w:t>Petasis</w:t>
      </w:r>
      <w:proofErr w:type="spellEnd"/>
      <w:r w:rsidRPr="004446A4">
        <w:rPr>
          <w:color w:val="000000"/>
          <w:sz w:val="20"/>
          <w:szCs w:val="20"/>
          <w:shd w:val="clear" w:color="auto" w:fill="FFFFFF"/>
        </w:rPr>
        <w:t xml:space="preserve">, N., Hogg, N., &amp; Brady, H. (2000). Cutting edge: Lipoxins rapidly stimulate </w:t>
      </w:r>
      <w:proofErr w:type="spellStart"/>
      <w:r w:rsidRPr="004446A4">
        <w:rPr>
          <w:color w:val="000000"/>
          <w:sz w:val="20"/>
          <w:szCs w:val="20"/>
          <w:shd w:val="clear" w:color="auto" w:fill="FFFFFF"/>
        </w:rPr>
        <w:t>nonphlogistic</w:t>
      </w:r>
      <w:proofErr w:type="spellEnd"/>
      <w:r w:rsidRPr="004446A4">
        <w:rPr>
          <w:color w:val="000000"/>
          <w:sz w:val="20"/>
          <w:szCs w:val="20"/>
          <w:shd w:val="clear" w:color="auto" w:fill="FFFFFF"/>
        </w:rPr>
        <w:t xml:space="preserve"> phagocytosis of apoptotic neutrophils by monocyte-derived macrophages.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 xml:space="preserve">Journal of Immunology (Baltimore, </w:t>
      </w:r>
      <w:proofErr w:type="gramStart"/>
      <w:r w:rsidRPr="004446A4">
        <w:rPr>
          <w:i/>
          <w:iCs/>
          <w:color w:val="000000"/>
          <w:sz w:val="20"/>
          <w:szCs w:val="20"/>
          <w:bdr w:val="none" w:sz="0" w:space="0" w:color="auto" w:frame="1"/>
          <w:shd w:val="clear" w:color="auto" w:fill="FFFFFF"/>
        </w:rPr>
        <w:t>Md. :</w:t>
      </w:r>
      <w:proofErr w:type="gramEnd"/>
      <w:r w:rsidRPr="004446A4">
        <w:rPr>
          <w:i/>
          <w:iCs/>
          <w:color w:val="000000"/>
          <w:sz w:val="20"/>
          <w:szCs w:val="20"/>
          <w:bdr w:val="none" w:sz="0" w:space="0" w:color="auto" w:frame="1"/>
          <w:shd w:val="clear" w:color="auto" w:fill="FFFFFF"/>
        </w:rPr>
        <w:t xml:space="preserve"> 1950),</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164</w:t>
      </w:r>
      <w:r w:rsidRPr="004446A4">
        <w:rPr>
          <w:color w:val="000000"/>
          <w:sz w:val="20"/>
          <w:szCs w:val="20"/>
          <w:shd w:val="clear" w:color="auto" w:fill="FFFFFF"/>
        </w:rPr>
        <w:t xml:space="preserve">(4), 1663-7. </w:t>
      </w:r>
      <w:hyperlink r:id="rId17" w:history="1">
        <w:r w:rsidRPr="004446A4">
          <w:rPr>
            <w:rStyle w:val="Hyperlink"/>
            <w:sz w:val="20"/>
            <w:szCs w:val="20"/>
            <w:shd w:val="clear" w:color="auto" w:fill="FFFFFF"/>
          </w:rPr>
          <w:t>http://www.jimmunol.org/content/164/4/1663.full.pdf+html</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8. Gilroy, D., Lawrence, T., </w:t>
      </w:r>
      <w:proofErr w:type="spellStart"/>
      <w:r w:rsidRPr="004446A4">
        <w:rPr>
          <w:color w:val="000000"/>
          <w:sz w:val="20"/>
          <w:szCs w:val="20"/>
          <w:shd w:val="clear" w:color="auto" w:fill="FFFFFF"/>
        </w:rPr>
        <w:t>Perretti</w:t>
      </w:r>
      <w:proofErr w:type="spellEnd"/>
      <w:r w:rsidRPr="004446A4">
        <w:rPr>
          <w:color w:val="000000"/>
          <w:sz w:val="20"/>
          <w:szCs w:val="20"/>
          <w:shd w:val="clear" w:color="auto" w:fill="FFFFFF"/>
        </w:rPr>
        <w:t xml:space="preserve">, M., &amp; Rossi, A. (2004). Inflammatory Resolution: New Opportunities for Drug </w:t>
      </w:r>
      <w:proofErr w:type="spellStart"/>
      <w:r w:rsidRPr="004446A4">
        <w:rPr>
          <w:color w:val="000000"/>
          <w:sz w:val="20"/>
          <w:szCs w:val="20"/>
          <w:shd w:val="clear" w:color="auto" w:fill="FFFFFF"/>
        </w:rPr>
        <w:t>Discovery.</w:t>
      </w:r>
      <w:r w:rsidRPr="004446A4">
        <w:rPr>
          <w:i/>
          <w:iCs/>
          <w:color w:val="000000"/>
          <w:sz w:val="20"/>
          <w:szCs w:val="20"/>
          <w:bdr w:val="none" w:sz="0" w:space="0" w:color="auto" w:frame="1"/>
          <w:shd w:val="clear" w:color="auto" w:fill="FFFFFF"/>
        </w:rPr>
        <w:t>Nature</w:t>
      </w:r>
      <w:proofErr w:type="spellEnd"/>
      <w:r w:rsidRPr="004446A4">
        <w:rPr>
          <w:i/>
          <w:iCs/>
          <w:color w:val="000000"/>
          <w:sz w:val="20"/>
          <w:szCs w:val="20"/>
          <w:bdr w:val="none" w:sz="0" w:space="0" w:color="auto" w:frame="1"/>
          <w:shd w:val="clear" w:color="auto" w:fill="FFFFFF"/>
        </w:rPr>
        <w:t xml:space="preserve"> Reviews: Drug Discovery,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3</w:t>
      </w:r>
      <w:r w:rsidRPr="004446A4">
        <w:rPr>
          <w:color w:val="000000"/>
          <w:sz w:val="20"/>
          <w:szCs w:val="20"/>
          <w:shd w:val="clear" w:color="auto" w:fill="FFFFFF"/>
        </w:rPr>
        <w:t xml:space="preserve">(5), 401-416. </w:t>
      </w:r>
      <w:hyperlink r:id="rId18" w:history="1">
        <w:r w:rsidRPr="004446A4">
          <w:rPr>
            <w:rStyle w:val="Hyperlink"/>
            <w:sz w:val="20"/>
            <w:szCs w:val="20"/>
            <w:shd w:val="clear" w:color="auto" w:fill="FFFFFF"/>
          </w:rPr>
          <w:t>http://www.nature.com.proxy.library.vcu.edu/nrd/journal/v3/n5/full/nrd1383.html</w:t>
        </w:r>
      </w:hyperlink>
    </w:p>
    <w:p w:rsidR="0062019A" w:rsidRPr="004446A4" w:rsidRDefault="0062019A" w:rsidP="0062019A">
      <w:pPr>
        <w:rPr>
          <w:color w:val="000000"/>
          <w:sz w:val="20"/>
          <w:szCs w:val="20"/>
          <w:shd w:val="clear" w:color="auto" w:fill="FFFFFF"/>
        </w:rPr>
      </w:pPr>
      <w:r w:rsidRPr="004446A4">
        <w:rPr>
          <w:rFonts w:eastAsia="Times New Roman" w:cs="Times New Roman"/>
          <w:sz w:val="20"/>
          <w:szCs w:val="20"/>
        </w:rPr>
        <w:t xml:space="preserve">9. </w:t>
      </w:r>
      <w:r w:rsidRPr="004446A4">
        <w:rPr>
          <w:color w:val="000000"/>
          <w:sz w:val="20"/>
          <w:szCs w:val="20"/>
          <w:shd w:val="clear" w:color="auto" w:fill="FFFFFF"/>
        </w:rPr>
        <w:t xml:space="preserve">Bruce D. Levy, Clary B. Clish, </w:t>
      </w:r>
      <w:proofErr w:type="spellStart"/>
      <w:r w:rsidRPr="004446A4">
        <w:rPr>
          <w:color w:val="000000"/>
          <w:sz w:val="20"/>
          <w:szCs w:val="20"/>
          <w:shd w:val="clear" w:color="auto" w:fill="FFFFFF"/>
        </w:rPr>
        <w:t>Birgitta</w:t>
      </w:r>
      <w:proofErr w:type="spellEnd"/>
      <w:r w:rsidRPr="004446A4">
        <w:rPr>
          <w:color w:val="000000"/>
          <w:sz w:val="20"/>
          <w:szCs w:val="20"/>
          <w:shd w:val="clear" w:color="auto" w:fill="FFFFFF"/>
        </w:rPr>
        <w:t xml:space="preserve"> Schmidt, </w:t>
      </w:r>
      <w:proofErr w:type="spellStart"/>
      <w:r w:rsidRPr="004446A4">
        <w:rPr>
          <w:color w:val="000000"/>
          <w:sz w:val="20"/>
          <w:szCs w:val="20"/>
          <w:shd w:val="clear" w:color="auto" w:fill="FFFFFF"/>
        </w:rPr>
        <w:t>Karsten</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Gronert</w:t>
      </w:r>
      <w:proofErr w:type="spellEnd"/>
      <w:r w:rsidRPr="004446A4">
        <w:rPr>
          <w:color w:val="000000"/>
          <w:sz w:val="20"/>
          <w:szCs w:val="20"/>
          <w:shd w:val="clear" w:color="auto" w:fill="FFFFFF"/>
        </w:rPr>
        <w:t xml:space="preserve">, &amp; Charles N. </w:t>
      </w:r>
      <w:proofErr w:type="spellStart"/>
      <w:r w:rsidRPr="004446A4">
        <w:rPr>
          <w:color w:val="000000"/>
          <w:sz w:val="20"/>
          <w:szCs w:val="20"/>
          <w:shd w:val="clear" w:color="auto" w:fill="FFFFFF"/>
        </w:rPr>
        <w:t>Serhan</w:t>
      </w:r>
      <w:proofErr w:type="spellEnd"/>
      <w:r w:rsidRPr="004446A4">
        <w:rPr>
          <w:color w:val="000000"/>
          <w:sz w:val="20"/>
          <w:szCs w:val="20"/>
          <w:shd w:val="clear" w:color="auto" w:fill="FFFFFF"/>
        </w:rPr>
        <w:t>. (2001). Lipid mediator class switching during acute inflammation: Signals in resolution.</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Nature Immunology,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2</w:t>
      </w:r>
      <w:r w:rsidRPr="004446A4">
        <w:rPr>
          <w:color w:val="000000"/>
          <w:sz w:val="20"/>
          <w:szCs w:val="20"/>
          <w:shd w:val="clear" w:color="auto" w:fill="FFFFFF"/>
        </w:rPr>
        <w:t xml:space="preserve">(7), 612. </w:t>
      </w:r>
      <w:hyperlink r:id="rId19" w:history="1">
        <w:r w:rsidRPr="004446A4">
          <w:rPr>
            <w:rStyle w:val="Hyperlink"/>
            <w:sz w:val="20"/>
            <w:szCs w:val="20"/>
            <w:shd w:val="clear" w:color="auto" w:fill="FFFFFF"/>
          </w:rPr>
          <w:t>http://www.nature.com/ni/journal/v2/n7/full/ni0701_612.html</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10. Glass, G., Murphy, G., </w:t>
      </w:r>
      <w:proofErr w:type="spellStart"/>
      <w:r w:rsidRPr="004446A4">
        <w:rPr>
          <w:color w:val="000000"/>
          <w:sz w:val="20"/>
          <w:szCs w:val="20"/>
          <w:shd w:val="clear" w:color="auto" w:fill="FFFFFF"/>
        </w:rPr>
        <w:t>Esmaeili</w:t>
      </w:r>
      <w:proofErr w:type="spellEnd"/>
      <w:r w:rsidRPr="004446A4">
        <w:rPr>
          <w:color w:val="000000"/>
          <w:sz w:val="20"/>
          <w:szCs w:val="20"/>
          <w:shd w:val="clear" w:color="auto" w:fill="FFFFFF"/>
        </w:rPr>
        <w:t xml:space="preserve">, A., Lai, L., &amp; </w:t>
      </w:r>
      <w:proofErr w:type="spellStart"/>
      <w:r w:rsidRPr="004446A4">
        <w:rPr>
          <w:color w:val="000000"/>
          <w:sz w:val="20"/>
          <w:szCs w:val="20"/>
          <w:shd w:val="clear" w:color="auto" w:fill="FFFFFF"/>
        </w:rPr>
        <w:t>Nanchahal</w:t>
      </w:r>
      <w:proofErr w:type="spellEnd"/>
      <w:r w:rsidRPr="004446A4">
        <w:rPr>
          <w:color w:val="000000"/>
          <w:sz w:val="20"/>
          <w:szCs w:val="20"/>
          <w:shd w:val="clear" w:color="auto" w:fill="FFFFFF"/>
        </w:rPr>
        <w:t>, J. (2014). Systematic review of molecular mechanism of action of negative</w:t>
      </w:r>
      <w:r w:rsidRPr="004446A4">
        <w:rPr>
          <w:rFonts w:ascii="Cambria Math" w:hAnsi="Cambria Math" w:cs="Cambria Math"/>
          <w:color w:val="000000"/>
          <w:sz w:val="20"/>
          <w:szCs w:val="20"/>
          <w:shd w:val="clear" w:color="auto" w:fill="FFFFFF"/>
        </w:rPr>
        <w:t>‐</w:t>
      </w:r>
      <w:r w:rsidRPr="004446A4">
        <w:rPr>
          <w:color w:val="000000"/>
          <w:sz w:val="20"/>
          <w:szCs w:val="20"/>
          <w:shd w:val="clear" w:color="auto" w:fill="FFFFFF"/>
        </w:rPr>
        <w:t>pressure wound therapy.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British Journal of Surgery,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101</w:t>
      </w:r>
      <w:r w:rsidRPr="004446A4">
        <w:rPr>
          <w:color w:val="000000"/>
          <w:sz w:val="20"/>
          <w:szCs w:val="20"/>
          <w:shd w:val="clear" w:color="auto" w:fill="FFFFFF"/>
        </w:rPr>
        <w:t xml:space="preserve">(13), 1627-1636. </w:t>
      </w:r>
      <w:hyperlink r:id="rId20" w:history="1">
        <w:r w:rsidRPr="004446A4">
          <w:rPr>
            <w:rStyle w:val="Hyperlink"/>
            <w:sz w:val="20"/>
            <w:szCs w:val="20"/>
            <w:shd w:val="clear" w:color="auto" w:fill="FFFFFF"/>
          </w:rPr>
          <w:t>http://onlinelibrary.wiley.com.proxy.library.vcu.edu/doi/10.1002/bjs.9636/abstract</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11. Hsu, C., Chow, S., Chen, C., Tsai, W., Wang, J., Yu, S., &amp; Lee, S. (2013). Negative pressure accelerated monolayer keratinocyte healing involves Cdc42 mediated cell podia formation.</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Journal of Dermatological Science,</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70</w:t>
      </w:r>
      <w:r w:rsidRPr="004446A4">
        <w:rPr>
          <w:color w:val="000000"/>
          <w:sz w:val="20"/>
          <w:szCs w:val="20"/>
          <w:shd w:val="clear" w:color="auto" w:fill="FFFFFF"/>
        </w:rPr>
        <w:t xml:space="preserve">(3), 196-203. </w:t>
      </w:r>
      <w:hyperlink r:id="rId21" w:history="1">
        <w:r w:rsidRPr="004446A4">
          <w:rPr>
            <w:rStyle w:val="Hyperlink"/>
            <w:sz w:val="20"/>
            <w:szCs w:val="20"/>
            <w:shd w:val="clear" w:color="auto" w:fill="FFFFFF"/>
          </w:rPr>
          <w:t>http://www.sciencedirect.com.proxy.library.vcu.edu/science/article/pii/S0923181113000972</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12. Power, R., &amp; </w:t>
      </w:r>
      <w:proofErr w:type="spellStart"/>
      <w:r w:rsidRPr="004446A4">
        <w:rPr>
          <w:color w:val="000000"/>
          <w:sz w:val="20"/>
          <w:szCs w:val="20"/>
          <w:shd w:val="clear" w:color="auto" w:fill="FFFFFF"/>
        </w:rPr>
        <w:t>Greengross</w:t>
      </w:r>
      <w:proofErr w:type="spellEnd"/>
      <w:r w:rsidRPr="004446A4">
        <w:rPr>
          <w:color w:val="000000"/>
          <w:sz w:val="20"/>
          <w:szCs w:val="20"/>
          <w:shd w:val="clear" w:color="auto" w:fill="FFFFFF"/>
        </w:rPr>
        <w:t>, P. (1991). Acute lower leg compartment syndrome.</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British Journal of Sports Medicine,</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25</w:t>
      </w:r>
      <w:r w:rsidRPr="004446A4">
        <w:rPr>
          <w:color w:val="000000"/>
          <w:sz w:val="20"/>
          <w:szCs w:val="20"/>
          <w:shd w:val="clear" w:color="auto" w:fill="FFFFFF"/>
        </w:rPr>
        <w:t xml:space="preserve">(4), 218. </w:t>
      </w:r>
      <w:hyperlink r:id="rId22" w:history="1">
        <w:r w:rsidRPr="004446A4">
          <w:rPr>
            <w:rStyle w:val="Hyperlink"/>
            <w:sz w:val="20"/>
            <w:szCs w:val="20"/>
            <w:shd w:val="clear" w:color="auto" w:fill="FFFFFF"/>
          </w:rPr>
          <w:t>http://bjsm.bmj.com/content/25/4/218</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13. </w:t>
      </w:r>
      <w:proofErr w:type="spellStart"/>
      <w:r w:rsidRPr="004446A4">
        <w:rPr>
          <w:color w:val="000000"/>
          <w:sz w:val="20"/>
          <w:szCs w:val="20"/>
          <w:shd w:val="clear" w:color="auto" w:fill="FFFFFF"/>
        </w:rPr>
        <w:t>Zenke</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Yukichi</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Inokuchi</w:t>
      </w:r>
      <w:proofErr w:type="spellEnd"/>
      <w:r w:rsidRPr="004446A4">
        <w:rPr>
          <w:color w:val="000000"/>
          <w:sz w:val="20"/>
          <w:szCs w:val="20"/>
          <w:shd w:val="clear" w:color="auto" w:fill="FFFFFF"/>
        </w:rPr>
        <w:t xml:space="preserve">, Koichi, Okada, Hiroyuki, </w:t>
      </w:r>
      <w:proofErr w:type="spellStart"/>
      <w:r w:rsidRPr="004446A4">
        <w:rPr>
          <w:color w:val="000000"/>
          <w:sz w:val="20"/>
          <w:szCs w:val="20"/>
          <w:shd w:val="clear" w:color="auto" w:fill="FFFFFF"/>
        </w:rPr>
        <w:t>Ooae</w:t>
      </w:r>
      <w:proofErr w:type="spellEnd"/>
      <w:r w:rsidRPr="004446A4">
        <w:rPr>
          <w:color w:val="000000"/>
          <w:sz w:val="20"/>
          <w:szCs w:val="20"/>
          <w:shd w:val="clear" w:color="auto" w:fill="FFFFFF"/>
        </w:rPr>
        <w:t xml:space="preserve">, Kazunori, Matsui, </w:t>
      </w:r>
      <w:proofErr w:type="spellStart"/>
      <w:r w:rsidRPr="004446A4">
        <w:rPr>
          <w:color w:val="000000"/>
          <w:sz w:val="20"/>
          <w:szCs w:val="20"/>
          <w:shd w:val="clear" w:color="auto" w:fill="FFFFFF"/>
        </w:rPr>
        <w:t>Kentaro</w:t>
      </w:r>
      <w:proofErr w:type="spellEnd"/>
      <w:r w:rsidRPr="004446A4">
        <w:rPr>
          <w:color w:val="000000"/>
          <w:sz w:val="20"/>
          <w:szCs w:val="20"/>
          <w:shd w:val="clear" w:color="auto" w:fill="FFFFFF"/>
        </w:rPr>
        <w:t xml:space="preserve">, &amp; Sakai, </w:t>
      </w:r>
      <w:proofErr w:type="spellStart"/>
      <w:r w:rsidRPr="004446A4">
        <w:rPr>
          <w:color w:val="000000"/>
          <w:sz w:val="20"/>
          <w:szCs w:val="20"/>
          <w:shd w:val="clear" w:color="auto" w:fill="FFFFFF"/>
        </w:rPr>
        <w:t>Akinori</w:t>
      </w:r>
      <w:proofErr w:type="spellEnd"/>
      <w:r w:rsidRPr="004446A4">
        <w:rPr>
          <w:color w:val="000000"/>
          <w:sz w:val="20"/>
          <w:szCs w:val="20"/>
          <w:shd w:val="clear" w:color="auto" w:fill="FFFFFF"/>
        </w:rPr>
        <w:t xml:space="preserve">. (2014). Useful technique using negative pressure wound therapy on postoperative lower leg open wounds with compartment </w:t>
      </w:r>
      <w:proofErr w:type="spellStart"/>
      <w:proofErr w:type="gramStart"/>
      <w:r w:rsidRPr="004446A4">
        <w:rPr>
          <w:color w:val="000000"/>
          <w:sz w:val="20"/>
          <w:szCs w:val="20"/>
          <w:shd w:val="clear" w:color="auto" w:fill="FFFFFF"/>
        </w:rPr>
        <w:t>syndrome.</w:t>
      </w:r>
      <w:r w:rsidRPr="004446A4">
        <w:rPr>
          <w:i/>
          <w:iCs/>
          <w:color w:val="000000"/>
          <w:sz w:val="20"/>
          <w:szCs w:val="20"/>
          <w:bdr w:val="none" w:sz="0" w:space="0" w:color="auto" w:frame="1"/>
          <w:shd w:val="clear" w:color="auto" w:fill="FFFFFF"/>
        </w:rPr>
        <w:t>Injury</w:t>
      </w:r>
      <w:proofErr w:type="spellEnd"/>
      <w:proofErr w:type="gramEnd"/>
      <w:r w:rsidRPr="004446A4">
        <w:rPr>
          <w:i/>
          <w:iCs/>
          <w:color w:val="000000"/>
          <w:sz w:val="20"/>
          <w:szCs w:val="20"/>
          <w:bdr w:val="none" w:sz="0" w:space="0" w:color="auto" w:frame="1"/>
          <w:shd w:val="clear" w:color="auto" w:fill="FFFFFF"/>
        </w:rPr>
        <w:t xml:space="preserve"> Extra,</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45</w:t>
      </w:r>
      <w:r w:rsidRPr="004446A4">
        <w:rPr>
          <w:color w:val="000000"/>
          <w:sz w:val="20"/>
          <w:szCs w:val="20"/>
          <w:shd w:val="clear" w:color="auto" w:fill="FFFFFF"/>
        </w:rPr>
        <w:t xml:space="preserve">(9), 83-87. </w:t>
      </w:r>
      <w:hyperlink r:id="rId23" w:history="1">
        <w:r w:rsidRPr="004446A4">
          <w:rPr>
            <w:rStyle w:val="Hyperlink"/>
            <w:sz w:val="20"/>
            <w:szCs w:val="20"/>
            <w:shd w:val="clear" w:color="auto" w:fill="FFFFFF"/>
          </w:rPr>
          <w:t>http://www.sciencedirect.com/science/article/pii/S1572346114000208</w:t>
        </w:r>
      </w:hyperlink>
    </w:p>
    <w:p w:rsidR="0062019A" w:rsidRPr="004446A4" w:rsidRDefault="0062019A" w:rsidP="0062019A">
      <w:pPr>
        <w:rPr>
          <w:rFonts w:eastAsia="Times New Roman" w:cs="Times New Roman"/>
          <w:sz w:val="20"/>
          <w:szCs w:val="20"/>
        </w:rPr>
      </w:pPr>
      <w:r w:rsidRPr="004446A4">
        <w:rPr>
          <w:rFonts w:eastAsia="Times New Roman" w:cs="Times New Roman"/>
          <w:sz w:val="20"/>
          <w:szCs w:val="20"/>
        </w:rPr>
        <w:t>14. RNAlater® Solutions for RNA Stabilization and Storage.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https://www.thermofisher.com/us/en/home/brands/product-brand/rnalater.html </w:t>
      </w:r>
    </w:p>
    <w:p w:rsidR="0062019A" w:rsidRPr="004446A4" w:rsidRDefault="0062019A" w:rsidP="0062019A">
      <w:pPr>
        <w:rPr>
          <w:color w:val="000000"/>
          <w:sz w:val="20"/>
          <w:szCs w:val="20"/>
          <w:shd w:val="clear" w:color="auto" w:fill="FFFFFF"/>
        </w:rPr>
      </w:pPr>
      <w:r w:rsidRPr="004446A4">
        <w:rPr>
          <w:rFonts w:eastAsia="Times New Roman" w:cs="Times New Roman"/>
          <w:sz w:val="20"/>
          <w:szCs w:val="20"/>
        </w:rPr>
        <w:t xml:space="preserve">15. </w:t>
      </w:r>
      <w:r w:rsidRPr="004446A4">
        <w:rPr>
          <w:color w:val="000000"/>
          <w:sz w:val="20"/>
          <w:szCs w:val="20"/>
          <w:shd w:val="clear" w:color="auto" w:fill="FFFFFF"/>
        </w:rPr>
        <w:t xml:space="preserve">Mason, P., Neilson, G., Dempsey, C., Barnes, A., &amp; Cruickshank, J. (2003). The Hydration Structure of </w:t>
      </w:r>
      <w:proofErr w:type="spellStart"/>
      <w:r w:rsidRPr="004446A4">
        <w:rPr>
          <w:color w:val="000000"/>
          <w:sz w:val="20"/>
          <w:szCs w:val="20"/>
          <w:shd w:val="clear" w:color="auto" w:fill="FFFFFF"/>
        </w:rPr>
        <w:t>Guanidinium</w:t>
      </w:r>
      <w:proofErr w:type="spellEnd"/>
      <w:r w:rsidRPr="004446A4">
        <w:rPr>
          <w:color w:val="000000"/>
          <w:sz w:val="20"/>
          <w:szCs w:val="20"/>
          <w:shd w:val="clear" w:color="auto" w:fill="FFFFFF"/>
        </w:rPr>
        <w:t xml:space="preserve"> and Thiocyanate Ions: Implications for Protein Stability in Aqueous Solution.</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Proceedings of the National Academy of Sciences of the United States of America,</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100</w:t>
      </w:r>
      <w:r w:rsidRPr="004446A4">
        <w:rPr>
          <w:color w:val="000000"/>
          <w:sz w:val="20"/>
          <w:szCs w:val="20"/>
          <w:shd w:val="clear" w:color="auto" w:fill="FFFFFF"/>
        </w:rPr>
        <w:t xml:space="preserve">(8), 4557-4561. </w:t>
      </w:r>
      <w:hyperlink r:id="rId24" w:history="1">
        <w:r w:rsidRPr="004446A4">
          <w:rPr>
            <w:rStyle w:val="Hyperlink"/>
            <w:sz w:val="20"/>
            <w:szCs w:val="20"/>
            <w:shd w:val="clear" w:color="auto" w:fill="FFFFFF"/>
          </w:rPr>
          <w:t>http://www.ncbi.nlm.nih.gov/pmc/articles/PMC404697/</w:t>
        </w:r>
      </w:hyperlink>
    </w:p>
    <w:p w:rsidR="0062019A" w:rsidRPr="004446A4" w:rsidRDefault="0062019A" w:rsidP="0062019A">
      <w:pPr>
        <w:rPr>
          <w:rFonts w:eastAsia="Times New Roman" w:cs="Times New Roman"/>
          <w:sz w:val="20"/>
          <w:szCs w:val="20"/>
        </w:rPr>
      </w:pPr>
      <w:r w:rsidRPr="004446A4">
        <w:rPr>
          <w:sz w:val="20"/>
          <w:szCs w:val="20"/>
        </w:rPr>
        <w:lastRenderedPageBreak/>
        <w:t xml:space="preserve">16. </w:t>
      </w:r>
      <w:r w:rsidRPr="004446A4">
        <w:rPr>
          <w:rFonts w:eastAsia="Times New Roman" w:cs="Times New Roman"/>
          <w:sz w:val="20"/>
          <w:szCs w:val="20"/>
        </w:rPr>
        <w:t>RNeasy Mini Kit.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https://www.qiagen.com/us/shop/sample-technologies/rna/rna-preparation/rneasy-mini-kit#orderinginformation </w:t>
      </w:r>
    </w:p>
    <w:p w:rsidR="0062019A" w:rsidRPr="004446A4" w:rsidRDefault="0062019A" w:rsidP="0062019A">
      <w:pPr>
        <w:rPr>
          <w:rFonts w:eastAsia="Times New Roman" w:cs="Times New Roman"/>
          <w:sz w:val="20"/>
          <w:szCs w:val="20"/>
        </w:rPr>
      </w:pPr>
      <w:r w:rsidRPr="004446A4">
        <w:rPr>
          <w:color w:val="000000"/>
          <w:sz w:val="20"/>
          <w:szCs w:val="20"/>
          <w:shd w:val="clear" w:color="auto" w:fill="FFFFFF"/>
        </w:rPr>
        <w:t xml:space="preserve">17. </w:t>
      </w:r>
      <w:proofErr w:type="spellStart"/>
      <w:r w:rsidRPr="004446A4">
        <w:rPr>
          <w:rFonts w:eastAsia="Times New Roman" w:cs="Times New Roman"/>
          <w:sz w:val="20"/>
          <w:szCs w:val="20"/>
        </w:rPr>
        <w:t>QuantiNova</w:t>
      </w:r>
      <w:proofErr w:type="spellEnd"/>
      <w:r w:rsidRPr="004446A4">
        <w:rPr>
          <w:rFonts w:eastAsia="Times New Roman" w:cs="Times New Roman"/>
          <w:sz w:val="20"/>
          <w:szCs w:val="20"/>
        </w:rPr>
        <w:t xml:space="preserve"> SYBR Green PCR Kit.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29, 2016, from https://www.qiagen.com/us/shop/pcr/real-time-pcr-enzymes-and-kits/two-step-qrt-pcr/quantinova-sybr-green-pcr-kit/?cmpid=QVen8GASybrGreen </w:t>
      </w:r>
    </w:p>
    <w:p w:rsidR="0062019A" w:rsidRPr="004446A4" w:rsidRDefault="0062019A" w:rsidP="0062019A">
      <w:pPr>
        <w:rPr>
          <w:color w:val="000000"/>
          <w:sz w:val="20"/>
          <w:szCs w:val="20"/>
          <w:shd w:val="clear" w:color="auto" w:fill="FFFFFF"/>
        </w:rPr>
      </w:pPr>
      <w:r w:rsidRPr="004446A4">
        <w:rPr>
          <w:rFonts w:eastAsia="Times New Roman" w:cs="Times New Roman"/>
          <w:sz w:val="20"/>
          <w:szCs w:val="20"/>
        </w:rPr>
        <w:t xml:space="preserve">18. </w:t>
      </w:r>
      <w:proofErr w:type="spellStart"/>
      <w:r w:rsidRPr="004446A4">
        <w:rPr>
          <w:color w:val="000000"/>
          <w:sz w:val="20"/>
          <w:szCs w:val="20"/>
          <w:shd w:val="clear" w:color="auto" w:fill="FFFFFF"/>
        </w:rPr>
        <w:t>Joon</w:t>
      </w:r>
      <w:proofErr w:type="spellEnd"/>
      <w:r w:rsidRPr="004446A4">
        <w:rPr>
          <w:color w:val="000000"/>
          <w:sz w:val="20"/>
          <w:szCs w:val="20"/>
          <w:shd w:val="clear" w:color="auto" w:fill="FFFFFF"/>
        </w:rPr>
        <w:t xml:space="preserve">-Il Jun, Ki-Hyun Kim, &amp; Lester F. Lau. (2015). The </w:t>
      </w:r>
      <w:proofErr w:type="spellStart"/>
      <w:r w:rsidRPr="004446A4">
        <w:rPr>
          <w:color w:val="000000"/>
          <w:sz w:val="20"/>
          <w:szCs w:val="20"/>
          <w:shd w:val="clear" w:color="auto" w:fill="FFFFFF"/>
        </w:rPr>
        <w:t>matricellular</w:t>
      </w:r>
      <w:proofErr w:type="spellEnd"/>
      <w:r w:rsidRPr="004446A4">
        <w:rPr>
          <w:color w:val="000000"/>
          <w:sz w:val="20"/>
          <w:szCs w:val="20"/>
          <w:shd w:val="clear" w:color="auto" w:fill="FFFFFF"/>
        </w:rPr>
        <w:t xml:space="preserve"> protein CCN1 mediates neutrophil </w:t>
      </w:r>
      <w:proofErr w:type="spellStart"/>
      <w:r w:rsidRPr="004446A4">
        <w:rPr>
          <w:color w:val="000000"/>
          <w:sz w:val="20"/>
          <w:szCs w:val="20"/>
          <w:shd w:val="clear" w:color="auto" w:fill="FFFFFF"/>
        </w:rPr>
        <w:t>efferocytosis</w:t>
      </w:r>
      <w:proofErr w:type="spellEnd"/>
      <w:r w:rsidRPr="004446A4">
        <w:rPr>
          <w:color w:val="000000"/>
          <w:sz w:val="20"/>
          <w:szCs w:val="20"/>
          <w:shd w:val="clear" w:color="auto" w:fill="FFFFFF"/>
        </w:rPr>
        <w:t xml:space="preserve"> in cutaneous wound healing.</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Nature Communications,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6</w:t>
      </w:r>
      <w:r w:rsidRPr="004446A4">
        <w:rPr>
          <w:color w:val="000000"/>
          <w:sz w:val="20"/>
          <w:szCs w:val="20"/>
          <w:shd w:val="clear" w:color="auto" w:fill="FFFFFF"/>
        </w:rPr>
        <w:t xml:space="preserve">, Nature Communications, 2015, Vol.6. </w:t>
      </w:r>
      <w:hyperlink r:id="rId25" w:history="1">
        <w:r w:rsidRPr="004446A4">
          <w:rPr>
            <w:rStyle w:val="Hyperlink"/>
            <w:sz w:val="20"/>
            <w:szCs w:val="20"/>
            <w:shd w:val="clear" w:color="auto" w:fill="FFFFFF"/>
          </w:rPr>
          <w:t>http://www.nature.com/ncomms/2015/150616/ncomms8386/full/ncomms8386.html</w:t>
        </w:r>
      </w:hyperlink>
    </w:p>
    <w:p w:rsidR="0062019A" w:rsidRPr="004446A4" w:rsidRDefault="0062019A" w:rsidP="0062019A">
      <w:pPr>
        <w:rPr>
          <w:rFonts w:eastAsia="Times New Roman" w:cs="Times New Roman"/>
          <w:sz w:val="20"/>
          <w:szCs w:val="20"/>
        </w:rPr>
      </w:pPr>
      <w:r w:rsidRPr="004446A4">
        <w:rPr>
          <w:sz w:val="20"/>
          <w:szCs w:val="20"/>
        </w:rPr>
        <w:t xml:space="preserve">19. </w:t>
      </w:r>
      <w:r w:rsidRPr="004446A4">
        <w:rPr>
          <w:rFonts w:eastAsia="Times New Roman" w:cs="Times New Roman"/>
          <w:sz w:val="20"/>
          <w:szCs w:val="20"/>
        </w:rPr>
        <w:t xml:space="preserve">SEA891Hu | ELISA Kit for Arachidonate-15-Lipoxygenase (ALOX15) | Homo sapiens (Human) </w:t>
      </w:r>
      <w:proofErr w:type="gramStart"/>
      <w:r w:rsidRPr="004446A4">
        <w:rPr>
          <w:rFonts w:eastAsia="Times New Roman" w:cs="Times New Roman"/>
          <w:sz w:val="20"/>
          <w:szCs w:val="20"/>
        </w:rPr>
        <w:t>USCN(</w:t>
      </w:r>
      <w:proofErr w:type="gramEnd"/>
      <w:r w:rsidRPr="004446A4">
        <w:rPr>
          <w:rFonts w:eastAsia="Times New Roman" w:cs="Times New Roman"/>
          <w:sz w:val="20"/>
          <w:szCs w:val="20"/>
        </w:rPr>
        <w:t>Wuhan USCN Business Co., Ltd. ).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http://www.uscnk.com/uscn/ELISA-Kit-for-Human-Lipoxygenase-15-LOX15-523.htm </w:t>
      </w:r>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20. Chiang, N., </w:t>
      </w:r>
      <w:proofErr w:type="spellStart"/>
      <w:r w:rsidRPr="004446A4">
        <w:rPr>
          <w:color w:val="000000"/>
          <w:sz w:val="20"/>
          <w:szCs w:val="20"/>
          <w:shd w:val="clear" w:color="auto" w:fill="FFFFFF"/>
        </w:rPr>
        <w:t>Arita</w:t>
      </w:r>
      <w:proofErr w:type="spellEnd"/>
      <w:r w:rsidRPr="004446A4">
        <w:rPr>
          <w:color w:val="000000"/>
          <w:sz w:val="20"/>
          <w:szCs w:val="20"/>
          <w:shd w:val="clear" w:color="auto" w:fill="FFFFFF"/>
        </w:rPr>
        <w:t xml:space="preserve">, M., &amp; </w:t>
      </w:r>
      <w:proofErr w:type="spellStart"/>
      <w:r w:rsidRPr="004446A4">
        <w:rPr>
          <w:color w:val="000000"/>
          <w:sz w:val="20"/>
          <w:szCs w:val="20"/>
          <w:shd w:val="clear" w:color="auto" w:fill="FFFFFF"/>
        </w:rPr>
        <w:t>Serhan</w:t>
      </w:r>
      <w:proofErr w:type="spellEnd"/>
      <w:r w:rsidRPr="004446A4">
        <w:rPr>
          <w:color w:val="000000"/>
          <w:sz w:val="20"/>
          <w:szCs w:val="20"/>
          <w:shd w:val="clear" w:color="auto" w:fill="FFFFFF"/>
        </w:rPr>
        <w:t>, C. (2005). Anti-inflammatory circuitry: Lipoxin, aspirin-triggered lipoxins and their receptor ALX.</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Prostaglandins, Leukotrienes, and Essential Fatty Acids,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73</w:t>
      </w:r>
      <w:r w:rsidRPr="004446A4">
        <w:rPr>
          <w:color w:val="000000"/>
          <w:sz w:val="20"/>
          <w:szCs w:val="20"/>
          <w:shd w:val="clear" w:color="auto" w:fill="FFFFFF"/>
        </w:rPr>
        <w:t xml:space="preserve">(3-4), 163-77. </w:t>
      </w:r>
      <w:hyperlink r:id="rId26" w:history="1">
        <w:r w:rsidRPr="004446A4">
          <w:rPr>
            <w:rStyle w:val="Hyperlink"/>
            <w:sz w:val="20"/>
            <w:szCs w:val="20"/>
            <w:shd w:val="clear" w:color="auto" w:fill="FFFFFF"/>
          </w:rPr>
          <w:t>http://www.sciencedirect.com/science/article/pii/S0952327805000815</w:t>
        </w:r>
      </w:hyperlink>
    </w:p>
    <w:p w:rsidR="0062019A" w:rsidRDefault="0062019A" w:rsidP="0062019A">
      <w:pPr>
        <w:rPr>
          <w:rFonts w:eastAsia="Times New Roman" w:cs="Times New Roman"/>
          <w:sz w:val="20"/>
          <w:szCs w:val="20"/>
        </w:rPr>
      </w:pPr>
      <w:r w:rsidRPr="004446A4">
        <w:rPr>
          <w:color w:val="000000"/>
          <w:sz w:val="20"/>
          <w:szCs w:val="20"/>
          <w:shd w:val="clear" w:color="auto" w:fill="FFFFFF"/>
        </w:rPr>
        <w:t xml:space="preserve">21. </w:t>
      </w:r>
      <w:r w:rsidRPr="004446A4">
        <w:rPr>
          <w:rFonts w:eastAsia="Times New Roman" w:cs="Times New Roman"/>
          <w:sz w:val="20"/>
          <w:szCs w:val="20"/>
        </w:rPr>
        <w:t>NR Sandwich AR ELISA.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www.activemotif.com/catalog/249/nr-sandwich-ar-elisa </w:t>
      </w:r>
    </w:p>
    <w:p w:rsidR="007E3A81" w:rsidRPr="007E3A81" w:rsidRDefault="007E3A81" w:rsidP="0062019A">
      <w:pPr>
        <w:rPr>
          <w:color w:val="000000"/>
          <w:sz w:val="20"/>
          <w:szCs w:val="20"/>
          <w:shd w:val="clear" w:color="auto" w:fill="FFFFFF"/>
        </w:rPr>
      </w:pPr>
      <w:r>
        <w:rPr>
          <w:color w:val="000000"/>
          <w:sz w:val="20"/>
          <w:szCs w:val="20"/>
          <w:shd w:val="clear" w:color="auto" w:fill="FFFFFF"/>
        </w:rPr>
        <w:t>22</w:t>
      </w:r>
      <w:r w:rsidRPr="004446A4">
        <w:rPr>
          <w:color w:val="000000"/>
          <w:sz w:val="20"/>
          <w:szCs w:val="20"/>
          <w:shd w:val="clear" w:color="auto" w:fill="FFFFFF"/>
        </w:rPr>
        <w:t xml:space="preserve">. </w:t>
      </w:r>
      <w:proofErr w:type="spellStart"/>
      <w:r w:rsidRPr="004446A4">
        <w:rPr>
          <w:color w:val="000000"/>
          <w:sz w:val="20"/>
          <w:szCs w:val="20"/>
          <w:shd w:val="clear" w:color="auto" w:fill="FFFFFF"/>
        </w:rPr>
        <w:t>Schreier</w:t>
      </w:r>
      <w:proofErr w:type="spellEnd"/>
      <w:r w:rsidRPr="004446A4">
        <w:rPr>
          <w:color w:val="000000"/>
          <w:sz w:val="20"/>
          <w:szCs w:val="20"/>
          <w:shd w:val="clear" w:color="auto" w:fill="FFFFFF"/>
        </w:rPr>
        <w:t xml:space="preserve">, T., </w:t>
      </w:r>
      <w:proofErr w:type="spellStart"/>
      <w:r w:rsidRPr="004446A4">
        <w:rPr>
          <w:color w:val="000000"/>
          <w:sz w:val="20"/>
          <w:szCs w:val="20"/>
          <w:shd w:val="clear" w:color="auto" w:fill="FFFFFF"/>
        </w:rPr>
        <w:t>Degen</w:t>
      </w:r>
      <w:proofErr w:type="spellEnd"/>
      <w:r w:rsidRPr="004446A4">
        <w:rPr>
          <w:color w:val="000000"/>
          <w:sz w:val="20"/>
          <w:szCs w:val="20"/>
          <w:shd w:val="clear" w:color="auto" w:fill="FFFFFF"/>
        </w:rPr>
        <w:t xml:space="preserve">, E., &amp; </w:t>
      </w:r>
      <w:proofErr w:type="spellStart"/>
      <w:r w:rsidRPr="004446A4">
        <w:rPr>
          <w:color w:val="000000"/>
          <w:sz w:val="20"/>
          <w:szCs w:val="20"/>
          <w:shd w:val="clear" w:color="auto" w:fill="FFFFFF"/>
        </w:rPr>
        <w:t>Baschong</w:t>
      </w:r>
      <w:proofErr w:type="spellEnd"/>
      <w:r w:rsidRPr="004446A4">
        <w:rPr>
          <w:color w:val="000000"/>
          <w:sz w:val="20"/>
          <w:szCs w:val="20"/>
          <w:shd w:val="clear" w:color="auto" w:fill="FFFFFF"/>
        </w:rPr>
        <w:t>, W. (1993). Fibroblast migration and proliferation during in vitro wound healing. A quantitative comparison between various growth factors and a low molecular weight blood dialysate used in the clinic to normalize impaired wound healing.</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 xml:space="preserve">Research in Experimental Medicine. </w:t>
      </w:r>
      <w:proofErr w:type="spellStart"/>
      <w:r w:rsidRPr="004446A4">
        <w:rPr>
          <w:i/>
          <w:iCs/>
          <w:color w:val="000000"/>
          <w:sz w:val="20"/>
          <w:szCs w:val="20"/>
          <w:bdr w:val="none" w:sz="0" w:space="0" w:color="auto" w:frame="1"/>
          <w:shd w:val="clear" w:color="auto" w:fill="FFFFFF"/>
        </w:rPr>
        <w:t>Zeitschrift</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Fu</w:t>
      </w:r>
      <w:r w:rsidRPr="004446A4">
        <w:rPr>
          <w:rFonts w:ascii="Times New Roman" w:hAnsi="Times New Roman" w:cs="Times New Roman"/>
          <w:i/>
          <w:iCs/>
          <w:color w:val="000000"/>
          <w:sz w:val="20"/>
          <w:szCs w:val="20"/>
          <w:bdr w:val="none" w:sz="0" w:space="0" w:color="auto" w:frame="1"/>
          <w:shd w:val="clear" w:color="auto" w:fill="FFFFFF"/>
        </w:rPr>
        <w:t>̈</w:t>
      </w:r>
      <w:r w:rsidRPr="004446A4">
        <w:rPr>
          <w:i/>
          <w:iCs/>
          <w:color w:val="000000"/>
          <w:sz w:val="20"/>
          <w:szCs w:val="20"/>
          <w:bdr w:val="none" w:sz="0" w:space="0" w:color="auto" w:frame="1"/>
          <w:shd w:val="clear" w:color="auto" w:fill="FFFFFF"/>
        </w:rPr>
        <w:t>r</w:t>
      </w:r>
      <w:proofErr w:type="spellEnd"/>
      <w:r w:rsidRPr="004446A4">
        <w:rPr>
          <w:i/>
          <w:iCs/>
          <w:color w:val="000000"/>
          <w:sz w:val="20"/>
          <w:szCs w:val="20"/>
          <w:bdr w:val="none" w:sz="0" w:space="0" w:color="auto" w:frame="1"/>
          <w:shd w:val="clear" w:color="auto" w:fill="FFFFFF"/>
        </w:rPr>
        <w:t xml:space="preserve"> Die </w:t>
      </w:r>
      <w:proofErr w:type="spellStart"/>
      <w:r w:rsidRPr="004446A4">
        <w:rPr>
          <w:i/>
          <w:iCs/>
          <w:color w:val="000000"/>
          <w:sz w:val="20"/>
          <w:szCs w:val="20"/>
          <w:bdr w:val="none" w:sz="0" w:space="0" w:color="auto" w:frame="1"/>
          <w:shd w:val="clear" w:color="auto" w:fill="FFFFFF"/>
        </w:rPr>
        <w:t>Gesamte</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Experimentelle</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Medizin</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Einschliesslich</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Experimenteller</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Chirurgie</w:t>
      </w:r>
      <w:proofErr w:type="spellEnd"/>
      <w:r w:rsidRPr="004446A4">
        <w:rPr>
          <w:i/>
          <w:iCs/>
          <w:color w:val="000000"/>
          <w:sz w:val="20"/>
          <w:szCs w:val="20"/>
          <w:bdr w:val="none" w:sz="0" w:space="0" w:color="auto" w:frame="1"/>
          <w:shd w:val="clear" w:color="auto" w:fill="FFFFFF"/>
        </w:rPr>
        <w:t>,</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193</w:t>
      </w:r>
      <w:r w:rsidRPr="004446A4">
        <w:rPr>
          <w:color w:val="000000"/>
          <w:sz w:val="20"/>
          <w:szCs w:val="20"/>
          <w:shd w:val="clear" w:color="auto" w:fill="FFFFFF"/>
        </w:rPr>
        <w:t xml:space="preserve">(4), 195-205. </w:t>
      </w:r>
      <w:hyperlink r:id="rId27" w:history="1">
        <w:r w:rsidRPr="004446A4">
          <w:rPr>
            <w:rStyle w:val="Hyperlink"/>
            <w:sz w:val="20"/>
            <w:szCs w:val="20"/>
            <w:shd w:val="clear" w:color="auto" w:fill="FFFFFF"/>
          </w:rPr>
          <w:t>http://link.springer.com/article/10.1007/BF02576227</w:t>
        </w:r>
      </w:hyperlink>
    </w:p>
    <w:p w:rsidR="0062019A" w:rsidRPr="004446A4" w:rsidRDefault="007E3A81" w:rsidP="0062019A">
      <w:pPr>
        <w:rPr>
          <w:color w:val="000000"/>
          <w:sz w:val="20"/>
          <w:szCs w:val="20"/>
          <w:shd w:val="clear" w:color="auto" w:fill="FFFFFF"/>
        </w:rPr>
      </w:pPr>
      <w:r>
        <w:rPr>
          <w:color w:val="000000"/>
          <w:sz w:val="20"/>
          <w:szCs w:val="20"/>
          <w:shd w:val="clear" w:color="auto" w:fill="FFFFFF"/>
        </w:rPr>
        <w:t>23</w:t>
      </w:r>
      <w:r w:rsidR="0062019A" w:rsidRPr="004446A4">
        <w:rPr>
          <w:color w:val="000000"/>
          <w:sz w:val="20"/>
          <w:szCs w:val="20"/>
          <w:shd w:val="clear" w:color="auto" w:fill="FFFFFF"/>
        </w:rPr>
        <w:t>. Funk, Colin D., Funk, Lena B., Fitzgerald, Garret A., &amp; Samuelsson, Bengt. (1992). Characterization of Human 12-Lipoxygenase Genes.</w:t>
      </w:r>
      <w:r w:rsidR="0062019A" w:rsidRPr="004446A4">
        <w:rPr>
          <w:rStyle w:val="apple-converted-space"/>
          <w:color w:val="000000"/>
          <w:sz w:val="20"/>
          <w:szCs w:val="20"/>
          <w:shd w:val="clear" w:color="auto" w:fill="FFFFFF"/>
        </w:rPr>
        <w:t> </w:t>
      </w:r>
      <w:r w:rsidR="0062019A" w:rsidRPr="004446A4">
        <w:rPr>
          <w:i/>
          <w:iCs/>
          <w:color w:val="000000"/>
          <w:sz w:val="20"/>
          <w:szCs w:val="20"/>
          <w:bdr w:val="none" w:sz="0" w:space="0" w:color="auto" w:frame="1"/>
          <w:shd w:val="clear" w:color="auto" w:fill="FFFFFF"/>
        </w:rPr>
        <w:t>Proceedings of the National Academy of Sciences of the United States of America,</w:t>
      </w:r>
      <w:r w:rsidR="0062019A" w:rsidRPr="004446A4">
        <w:rPr>
          <w:rStyle w:val="apple-converted-space"/>
          <w:color w:val="000000"/>
          <w:sz w:val="20"/>
          <w:szCs w:val="20"/>
          <w:shd w:val="clear" w:color="auto" w:fill="FFFFFF"/>
        </w:rPr>
        <w:t> </w:t>
      </w:r>
      <w:r w:rsidR="0062019A" w:rsidRPr="004446A4">
        <w:rPr>
          <w:i/>
          <w:iCs/>
          <w:color w:val="000000"/>
          <w:sz w:val="20"/>
          <w:szCs w:val="20"/>
          <w:bdr w:val="none" w:sz="0" w:space="0" w:color="auto" w:frame="1"/>
          <w:shd w:val="clear" w:color="auto" w:fill="FFFFFF"/>
        </w:rPr>
        <w:t>89</w:t>
      </w:r>
      <w:r w:rsidR="0062019A" w:rsidRPr="004446A4">
        <w:rPr>
          <w:color w:val="000000"/>
          <w:sz w:val="20"/>
          <w:szCs w:val="20"/>
          <w:shd w:val="clear" w:color="auto" w:fill="FFFFFF"/>
        </w:rPr>
        <w:t xml:space="preserve">(9), 3962-3966. </w:t>
      </w:r>
      <w:hyperlink r:id="rId28" w:history="1">
        <w:r w:rsidR="0062019A" w:rsidRPr="004446A4">
          <w:rPr>
            <w:rStyle w:val="Hyperlink"/>
            <w:sz w:val="20"/>
            <w:szCs w:val="20"/>
            <w:shd w:val="clear" w:color="auto" w:fill="FFFFFF"/>
          </w:rPr>
          <w:t>http://www.ncbi.nlm.nih.gov/pmc/articles/PMC525611/</w:t>
        </w:r>
      </w:hyperlink>
    </w:p>
    <w:p w:rsidR="00491887" w:rsidRPr="00C52E02" w:rsidRDefault="00491887" w:rsidP="008B734B">
      <w:pPr>
        <w:rPr>
          <w:rFonts w:eastAsia="Times New Roman" w:cs="Times New Roman"/>
          <w:sz w:val="20"/>
          <w:szCs w:val="20"/>
        </w:rPr>
      </w:pPr>
    </w:p>
    <w:p w:rsidR="008F268F" w:rsidRPr="00C32E12" w:rsidRDefault="008F268F" w:rsidP="00C32E12">
      <w:pPr>
        <w:rPr>
          <w:rFonts w:ascii="Times New Roman" w:eastAsia="Times New Roman" w:hAnsi="Times New Roman" w:cs="Times New Roman"/>
          <w:sz w:val="24"/>
          <w:szCs w:val="24"/>
        </w:rPr>
      </w:pPr>
    </w:p>
    <w:p w:rsidR="00F01671" w:rsidRPr="00F01671" w:rsidRDefault="00F01671" w:rsidP="00F01671"/>
    <w:sectPr w:rsidR="00F01671" w:rsidRPr="00F01671">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FA" w:rsidRDefault="000219FA" w:rsidP="005F0B89">
      <w:pPr>
        <w:spacing w:after="0" w:line="240" w:lineRule="auto"/>
      </w:pPr>
      <w:r>
        <w:separator/>
      </w:r>
    </w:p>
  </w:endnote>
  <w:endnote w:type="continuationSeparator" w:id="0">
    <w:p w:rsidR="000219FA" w:rsidRDefault="000219FA" w:rsidP="005F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FA" w:rsidRDefault="000219FA" w:rsidP="005F0B89">
      <w:pPr>
        <w:spacing w:after="0" w:line="240" w:lineRule="auto"/>
      </w:pPr>
      <w:r>
        <w:separator/>
      </w:r>
    </w:p>
  </w:footnote>
  <w:footnote w:type="continuationSeparator" w:id="0">
    <w:p w:rsidR="000219FA" w:rsidRDefault="000219FA" w:rsidP="005F0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89" w:rsidRDefault="005F0B89" w:rsidP="005F0B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CC6"/>
    <w:multiLevelType w:val="hybridMultilevel"/>
    <w:tmpl w:val="1CFC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0213"/>
    <w:multiLevelType w:val="hybridMultilevel"/>
    <w:tmpl w:val="88EE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435B8"/>
    <w:multiLevelType w:val="hybridMultilevel"/>
    <w:tmpl w:val="1DB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258F1"/>
    <w:multiLevelType w:val="hybridMultilevel"/>
    <w:tmpl w:val="B29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41588"/>
    <w:multiLevelType w:val="hybridMultilevel"/>
    <w:tmpl w:val="55E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F7"/>
    <w:rsid w:val="00003F4A"/>
    <w:rsid w:val="0000528B"/>
    <w:rsid w:val="00013836"/>
    <w:rsid w:val="00014CCD"/>
    <w:rsid w:val="000219FA"/>
    <w:rsid w:val="00037BA1"/>
    <w:rsid w:val="00047E9F"/>
    <w:rsid w:val="00054F4C"/>
    <w:rsid w:val="00056931"/>
    <w:rsid w:val="00070454"/>
    <w:rsid w:val="00082D3C"/>
    <w:rsid w:val="00090047"/>
    <w:rsid w:val="000909AA"/>
    <w:rsid w:val="000951A8"/>
    <w:rsid w:val="00097CFC"/>
    <w:rsid w:val="000B4C03"/>
    <w:rsid w:val="000C48FB"/>
    <w:rsid w:val="000C4D3D"/>
    <w:rsid w:val="000D3E49"/>
    <w:rsid w:val="000E4BCF"/>
    <w:rsid w:val="000F080D"/>
    <w:rsid w:val="000F0D25"/>
    <w:rsid w:val="001053F7"/>
    <w:rsid w:val="00115AAC"/>
    <w:rsid w:val="00121B6C"/>
    <w:rsid w:val="001262C2"/>
    <w:rsid w:val="00134E43"/>
    <w:rsid w:val="0013745E"/>
    <w:rsid w:val="001410EB"/>
    <w:rsid w:val="00142F31"/>
    <w:rsid w:val="001467C2"/>
    <w:rsid w:val="00146B1E"/>
    <w:rsid w:val="001B29CB"/>
    <w:rsid w:val="001B567B"/>
    <w:rsid w:val="001C0425"/>
    <w:rsid w:val="001E513F"/>
    <w:rsid w:val="001F0BB6"/>
    <w:rsid w:val="001F5F0A"/>
    <w:rsid w:val="0020750F"/>
    <w:rsid w:val="00216D75"/>
    <w:rsid w:val="002206E1"/>
    <w:rsid w:val="00247D02"/>
    <w:rsid w:val="00251B94"/>
    <w:rsid w:val="00257228"/>
    <w:rsid w:val="00265343"/>
    <w:rsid w:val="00281696"/>
    <w:rsid w:val="00285262"/>
    <w:rsid w:val="002A2F6F"/>
    <w:rsid w:val="002B331E"/>
    <w:rsid w:val="002B51A4"/>
    <w:rsid w:val="002C44F0"/>
    <w:rsid w:val="002C673D"/>
    <w:rsid w:val="002C7707"/>
    <w:rsid w:val="002D476F"/>
    <w:rsid w:val="002D76F0"/>
    <w:rsid w:val="002F2753"/>
    <w:rsid w:val="002F504D"/>
    <w:rsid w:val="00312040"/>
    <w:rsid w:val="0032208F"/>
    <w:rsid w:val="00322710"/>
    <w:rsid w:val="00343469"/>
    <w:rsid w:val="0035198E"/>
    <w:rsid w:val="0036536B"/>
    <w:rsid w:val="0037119A"/>
    <w:rsid w:val="00374AC6"/>
    <w:rsid w:val="00376339"/>
    <w:rsid w:val="003777A9"/>
    <w:rsid w:val="00383825"/>
    <w:rsid w:val="00396A00"/>
    <w:rsid w:val="003B4C60"/>
    <w:rsid w:val="003B4D68"/>
    <w:rsid w:val="003C011B"/>
    <w:rsid w:val="003D655F"/>
    <w:rsid w:val="003F1F99"/>
    <w:rsid w:val="00402E73"/>
    <w:rsid w:val="0040351C"/>
    <w:rsid w:val="0041360E"/>
    <w:rsid w:val="00413B62"/>
    <w:rsid w:val="0041731B"/>
    <w:rsid w:val="00422C54"/>
    <w:rsid w:val="004245D6"/>
    <w:rsid w:val="00434571"/>
    <w:rsid w:val="0044264C"/>
    <w:rsid w:val="004446A4"/>
    <w:rsid w:val="00444D5E"/>
    <w:rsid w:val="00450E2B"/>
    <w:rsid w:val="00451520"/>
    <w:rsid w:val="00462E54"/>
    <w:rsid w:val="00491887"/>
    <w:rsid w:val="00492174"/>
    <w:rsid w:val="004A290F"/>
    <w:rsid w:val="004A4482"/>
    <w:rsid w:val="004A6B86"/>
    <w:rsid w:val="004B37A8"/>
    <w:rsid w:val="004B6781"/>
    <w:rsid w:val="004C24B8"/>
    <w:rsid w:val="004E08CD"/>
    <w:rsid w:val="004E1D5C"/>
    <w:rsid w:val="005027F3"/>
    <w:rsid w:val="00527B84"/>
    <w:rsid w:val="00533D30"/>
    <w:rsid w:val="00534C22"/>
    <w:rsid w:val="0054401B"/>
    <w:rsid w:val="0054572B"/>
    <w:rsid w:val="0055379C"/>
    <w:rsid w:val="0056118D"/>
    <w:rsid w:val="00572A48"/>
    <w:rsid w:val="00587DCF"/>
    <w:rsid w:val="005A7F0B"/>
    <w:rsid w:val="005B34C6"/>
    <w:rsid w:val="005B791B"/>
    <w:rsid w:val="005C1100"/>
    <w:rsid w:val="005C1910"/>
    <w:rsid w:val="005C2D84"/>
    <w:rsid w:val="005C709B"/>
    <w:rsid w:val="005D3A3D"/>
    <w:rsid w:val="005F0B89"/>
    <w:rsid w:val="005F746E"/>
    <w:rsid w:val="006000FA"/>
    <w:rsid w:val="0060289E"/>
    <w:rsid w:val="00607DE9"/>
    <w:rsid w:val="006135DD"/>
    <w:rsid w:val="00615468"/>
    <w:rsid w:val="00617CEC"/>
    <w:rsid w:val="0062019A"/>
    <w:rsid w:val="00623F8B"/>
    <w:rsid w:val="0062503D"/>
    <w:rsid w:val="00625B96"/>
    <w:rsid w:val="006277A6"/>
    <w:rsid w:val="00636A73"/>
    <w:rsid w:val="00646B9E"/>
    <w:rsid w:val="00652B6C"/>
    <w:rsid w:val="00653C58"/>
    <w:rsid w:val="006615CB"/>
    <w:rsid w:val="00663F91"/>
    <w:rsid w:val="00665F14"/>
    <w:rsid w:val="00682C2B"/>
    <w:rsid w:val="006855DA"/>
    <w:rsid w:val="00687637"/>
    <w:rsid w:val="00687ECA"/>
    <w:rsid w:val="006922D0"/>
    <w:rsid w:val="006A5726"/>
    <w:rsid w:val="006B1AD4"/>
    <w:rsid w:val="006B23CE"/>
    <w:rsid w:val="006B610D"/>
    <w:rsid w:val="006B79F3"/>
    <w:rsid w:val="006C05DB"/>
    <w:rsid w:val="006C791C"/>
    <w:rsid w:val="006D0882"/>
    <w:rsid w:val="006D2E79"/>
    <w:rsid w:val="006F06DC"/>
    <w:rsid w:val="00701464"/>
    <w:rsid w:val="00702E34"/>
    <w:rsid w:val="00705293"/>
    <w:rsid w:val="007156A7"/>
    <w:rsid w:val="00716CEC"/>
    <w:rsid w:val="0072636A"/>
    <w:rsid w:val="007335B8"/>
    <w:rsid w:val="00747714"/>
    <w:rsid w:val="007549D3"/>
    <w:rsid w:val="00757ECF"/>
    <w:rsid w:val="00763C67"/>
    <w:rsid w:val="00772F48"/>
    <w:rsid w:val="00775E95"/>
    <w:rsid w:val="00781C5D"/>
    <w:rsid w:val="00783D2F"/>
    <w:rsid w:val="00785921"/>
    <w:rsid w:val="007A2A19"/>
    <w:rsid w:val="007A2EA6"/>
    <w:rsid w:val="007B0E28"/>
    <w:rsid w:val="007B3D83"/>
    <w:rsid w:val="007B6542"/>
    <w:rsid w:val="007C1CF0"/>
    <w:rsid w:val="007D2288"/>
    <w:rsid w:val="007D4060"/>
    <w:rsid w:val="007E0C10"/>
    <w:rsid w:val="007E3A81"/>
    <w:rsid w:val="007E4170"/>
    <w:rsid w:val="007E6F26"/>
    <w:rsid w:val="007F36FD"/>
    <w:rsid w:val="007F7A7B"/>
    <w:rsid w:val="00801D0F"/>
    <w:rsid w:val="00804F2C"/>
    <w:rsid w:val="0080568B"/>
    <w:rsid w:val="00814980"/>
    <w:rsid w:val="008172A6"/>
    <w:rsid w:val="008243F6"/>
    <w:rsid w:val="00827376"/>
    <w:rsid w:val="00847E4E"/>
    <w:rsid w:val="0085614D"/>
    <w:rsid w:val="00861F4F"/>
    <w:rsid w:val="0086238A"/>
    <w:rsid w:val="00865096"/>
    <w:rsid w:val="008A06E2"/>
    <w:rsid w:val="008B319D"/>
    <w:rsid w:val="008B734B"/>
    <w:rsid w:val="008C0143"/>
    <w:rsid w:val="008C6793"/>
    <w:rsid w:val="008E0D3D"/>
    <w:rsid w:val="008E12F5"/>
    <w:rsid w:val="008E61C0"/>
    <w:rsid w:val="008F268F"/>
    <w:rsid w:val="00907AAF"/>
    <w:rsid w:val="00911E86"/>
    <w:rsid w:val="00926F8E"/>
    <w:rsid w:val="009508F3"/>
    <w:rsid w:val="00951E4A"/>
    <w:rsid w:val="00951F70"/>
    <w:rsid w:val="00965A4F"/>
    <w:rsid w:val="00975435"/>
    <w:rsid w:val="00983544"/>
    <w:rsid w:val="00992A83"/>
    <w:rsid w:val="00994326"/>
    <w:rsid w:val="009A1AE9"/>
    <w:rsid w:val="009A560C"/>
    <w:rsid w:val="009B2BE4"/>
    <w:rsid w:val="009B5FB7"/>
    <w:rsid w:val="009B787F"/>
    <w:rsid w:val="009C2878"/>
    <w:rsid w:val="009D7E44"/>
    <w:rsid w:val="009E7116"/>
    <w:rsid w:val="009F584B"/>
    <w:rsid w:val="009F6C34"/>
    <w:rsid w:val="009F7932"/>
    <w:rsid w:val="00A02941"/>
    <w:rsid w:val="00A06479"/>
    <w:rsid w:val="00A14CDA"/>
    <w:rsid w:val="00A22689"/>
    <w:rsid w:val="00A22ABB"/>
    <w:rsid w:val="00A31C4A"/>
    <w:rsid w:val="00A335CA"/>
    <w:rsid w:val="00A431D9"/>
    <w:rsid w:val="00A474F5"/>
    <w:rsid w:val="00A54748"/>
    <w:rsid w:val="00A608E0"/>
    <w:rsid w:val="00A61140"/>
    <w:rsid w:val="00A630DF"/>
    <w:rsid w:val="00A758A6"/>
    <w:rsid w:val="00A922EE"/>
    <w:rsid w:val="00AA0908"/>
    <w:rsid w:val="00AA0B7F"/>
    <w:rsid w:val="00AA0B90"/>
    <w:rsid w:val="00AA3B3C"/>
    <w:rsid w:val="00AA5CC4"/>
    <w:rsid w:val="00AB3ABB"/>
    <w:rsid w:val="00AB4C84"/>
    <w:rsid w:val="00AB566F"/>
    <w:rsid w:val="00AC183B"/>
    <w:rsid w:val="00AC4F05"/>
    <w:rsid w:val="00AE0102"/>
    <w:rsid w:val="00AF55A1"/>
    <w:rsid w:val="00AF7AA9"/>
    <w:rsid w:val="00B2396F"/>
    <w:rsid w:val="00B34C36"/>
    <w:rsid w:val="00B738B6"/>
    <w:rsid w:val="00B8621C"/>
    <w:rsid w:val="00B91C44"/>
    <w:rsid w:val="00B9417F"/>
    <w:rsid w:val="00B97B44"/>
    <w:rsid w:val="00B97EF9"/>
    <w:rsid w:val="00BB5D8F"/>
    <w:rsid w:val="00BB611E"/>
    <w:rsid w:val="00BC489A"/>
    <w:rsid w:val="00BC6E67"/>
    <w:rsid w:val="00BE11B1"/>
    <w:rsid w:val="00BE271B"/>
    <w:rsid w:val="00BE7F3D"/>
    <w:rsid w:val="00C10213"/>
    <w:rsid w:val="00C22557"/>
    <w:rsid w:val="00C326EE"/>
    <w:rsid w:val="00C32E12"/>
    <w:rsid w:val="00C476D9"/>
    <w:rsid w:val="00C50B4B"/>
    <w:rsid w:val="00C52E02"/>
    <w:rsid w:val="00C613BD"/>
    <w:rsid w:val="00C7103A"/>
    <w:rsid w:val="00C8304B"/>
    <w:rsid w:val="00C84BA8"/>
    <w:rsid w:val="00C85E25"/>
    <w:rsid w:val="00C90EFB"/>
    <w:rsid w:val="00C97A04"/>
    <w:rsid w:val="00CA2777"/>
    <w:rsid w:val="00CD1C21"/>
    <w:rsid w:val="00CD236B"/>
    <w:rsid w:val="00CD7DD5"/>
    <w:rsid w:val="00CE308E"/>
    <w:rsid w:val="00CE570E"/>
    <w:rsid w:val="00CF5CE1"/>
    <w:rsid w:val="00CF72A7"/>
    <w:rsid w:val="00D1446C"/>
    <w:rsid w:val="00D24177"/>
    <w:rsid w:val="00D339E1"/>
    <w:rsid w:val="00D343AF"/>
    <w:rsid w:val="00D456B1"/>
    <w:rsid w:val="00D54B62"/>
    <w:rsid w:val="00D66C5B"/>
    <w:rsid w:val="00D806A0"/>
    <w:rsid w:val="00D813E0"/>
    <w:rsid w:val="00D9062C"/>
    <w:rsid w:val="00DC1ABA"/>
    <w:rsid w:val="00DD7237"/>
    <w:rsid w:val="00DE09F7"/>
    <w:rsid w:val="00DE610B"/>
    <w:rsid w:val="00E06FED"/>
    <w:rsid w:val="00E10B5E"/>
    <w:rsid w:val="00E150DB"/>
    <w:rsid w:val="00E23EB6"/>
    <w:rsid w:val="00E3081D"/>
    <w:rsid w:val="00E4169B"/>
    <w:rsid w:val="00E4187A"/>
    <w:rsid w:val="00E517B4"/>
    <w:rsid w:val="00E6489B"/>
    <w:rsid w:val="00E6762F"/>
    <w:rsid w:val="00E908C0"/>
    <w:rsid w:val="00E90B05"/>
    <w:rsid w:val="00EA712D"/>
    <w:rsid w:val="00EA73DB"/>
    <w:rsid w:val="00EB1ED0"/>
    <w:rsid w:val="00EC2697"/>
    <w:rsid w:val="00EC5CF8"/>
    <w:rsid w:val="00EC65B6"/>
    <w:rsid w:val="00EC6817"/>
    <w:rsid w:val="00ED146C"/>
    <w:rsid w:val="00ED154D"/>
    <w:rsid w:val="00ED699F"/>
    <w:rsid w:val="00EE7353"/>
    <w:rsid w:val="00F00B33"/>
    <w:rsid w:val="00F01470"/>
    <w:rsid w:val="00F01671"/>
    <w:rsid w:val="00F30EE9"/>
    <w:rsid w:val="00F32316"/>
    <w:rsid w:val="00F32C7C"/>
    <w:rsid w:val="00F41462"/>
    <w:rsid w:val="00F7539E"/>
    <w:rsid w:val="00F770C2"/>
    <w:rsid w:val="00F77A26"/>
    <w:rsid w:val="00F77DF0"/>
    <w:rsid w:val="00F80212"/>
    <w:rsid w:val="00F80510"/>
    <w:rsid w:val="00F831E3"/>
    <w:rsid w:val="00F93CE5"/>
    <w:rsid w:val="00F93DB4"/>
    <w:rsid w:val="00F97702"/>
    <w:rsid w:val="00F97ED5"/>
    <w:rsid w:val="00FB0CD2"/>
    <w:rsid w:val="00FC57BF"/>
    <w:rsid w:val="00FC612A"/>
    <w:rsid w:val="00FD76D5"/>
    <w:rsid w:val="00FE1B46"/>
    <w:rsid w:val="00FF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7C14-9354-4B50-B308-F1E3D036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B46"/>
  </w:style>
  <w:style w:type="character" w:styleId="Hyperlink">
    <w:name w:val="Hyperlink"/>
    <w:basedOn w:val="DefaultParagraphFont"/>
    <w:uiPriority w:val="99"/>
    <w:unhideWhenUsed/>
    <w:rsid w:val="00D24177"/>
    <w:rPr>
      <w:color w:val="0563C1" w:themeColor="hyperlink"/>
      <w:u w:val="single"/>
    </w:rPr>
  </w:style>
  <w:style w:type="paragraph" w:styleId="ListParagraph">
    <w:name w:val="List Paragraph"/>
    <w:basedOn w:val="Normal"/>
    <w:uiPriority w:val="34"/>
    <w:qFormat/>
    <w:rsid w:val="00451520"/>
    <w:pPr>
      <w:ind w:left="720"/>
      <w:contextualSpacing/>
    </w:pPr>
  </w:style>
  <w:style w:type="paragraph" w:styleId="Header">
    <w:name w:val="header"/>
    <w:basedOn w:val="Normal"/>
    <w:link w:val="HeaderChar"/>
    <w:uiPriority w:val="99"/>
    <w:unhideWhenUsed/>
    <w:rsid w:val="005F0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89"/>
  </w:style>
  <w:style w:type="paragraph" w:styleId="Footer">
    <w:name w:val="footer"/>
    <w:basedOn w:val="Normal"/>
    <w:link w:val="FooterChar"/>
    <w:uiPriority w:val="99"/>
    <w:unhideWhenUsed/>
    <w:rsid w:val="005F0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5355">
      <w:bodyDiv w:val="1"/>
      <w:marLeft w:val="0"/>
      <w:marRight w:val="0"/>
      <w:marTop w:val="0"/>
      <w:marBottom w:val="0"/>
      <w:divBdr>
        <w:top w:val="none" w:sz="0" w:space="0" w:color="auto"/>
        <w:left w:val="none" w:sz="0" w:space="0" w:color="auto"/>
        <w:bottom w:val="none" w:sz="0" w:space="0" w:color="auto"/>
        <w:right w:val="none" w:sz="0" w:space="0" w:color="auto"/>
      </w:divBdr>
      <w:divsChild>
        <w:div w:id="503326196">
          <w:marLeft w:val="0"/>
          <w:marRight w:val="0"/>
          <w:marTop w:val="0"/>
          <w:marBottom w:val="0"/>
          <w:divBdr>
            <w:top w:val="none" w:sz="0" w:space="0" w:color="auto"/>
            <w:left w:val="none" w:sz="0" w:space="0" w:color="auto"/>
            <w:bottom w:val="none" w:sz="0" w:space="0" w:color="auto"/>
            <w:right w:val="none" w:sz="0" w:space="0" w:color="auto"/>
          </w:divBdr>
        </w:div>
      </w:divsChild>
    </w:div>
    <w:div w:id="678234935">
      <w:bodyDiv w:val="1"/>
      <w:marLeft w:val="0"/>
      <w:marRight w:val="0"/>
      <w:marTop w:val="0"/>
      <w:marBottom w:val="0"/>
      <w:divBdr>
        <w:top w:val="none" w:sz="0" w:space="0" w:color="auto"/>
        <w:left w:val="none" w:sz="0" w:space="0" w:color="auto"/>
        <w:bottom w:val="none" w:sz="0" w:space="0" w:color="auto"/>
        <w:right w:val="none" w:sz="0" w:space="0" w:color="auto"/>
      </w:divBdr>
      <w:divsChild>
        <w:div w:id="677003069">
          <w:marLeft w:val="0"/>
          <w:marRight w:val="0"/>
          <w:marTop w:val="0"/>
          <w:marBottom w:val="0"/>
          <w:divBdr>
            <w:top w:val="none" w:sz="0" w:space="0" w:color="auto"/>
            <w:left w:val="none" w:sz="0" w:space="0" w:color="auto"/>
            <w:bottom w:val="none" w:sz="0" w:space="0" w:color="auto"/>
            <w:right w:val="none" w:sz="0" w:space="0" w:color="auto"/>
          </w:divBdr>
        </w:div>
      </w:divsChild>
    </w:div>
    <w:div w:id="866528090">
      <w:bodyDiv w:val="1"/>
      <w:marLeft w:val="0"/>
      <w:marRight w:val="0"/>
      <w:marTop w:val="0"/>
      <w:marBottom w:val="0"/>
      <w:divBdr>
        <w:top w:val="none" w:sz="0" w:space="0" w:color="auto"/>
        <w:left w:val="none" w:sz="0" w:space="0" w:color="auto"/>
        <w:bottom w:val="none" w:sz="0" w:space="0" w:color="auto"/>
        <w:right w:val="none" w:sz="0" w:space="0" w:color="auto"/>
      </w:divBdr>
      <w:divsChild>
        <w:div w:id="1598707266">
          <w:marLeft w:val="0"/>
          <w:marRight w:val="0"/>
          <w:marTop w:val="0"/>
          <w:marBottom w:val="0"/>
          <w:divBdr>
            <w:top w:val="none" w:sz="0" w:space="0" w:color="auto"/>
            <w:left w:val="none" w:sz="0" w:space="0" w:color="auto"/>
            <w:bottom w:val="none" w:sz="0" w:space="0" w:color="auto"/>
            <w:right w:val="none" w:sz="0" w:space="0" w:color="auto"/>
          </w:divBdr>
        </w:div>
      </w:divsChild>
    </w:div>
    <w:div w:id="977488114">
      <w:bodyDiv w:val="1"/>
      <w:marLeft w:val="0"/>
      <w:marRight w:val="0"/>
      <w:marTop w:val="0"/>
      <w:marBottom w:val="0"/>
      <w:divBdr>
        <w:top w:val="none" w:sz="0" w:space="0" w:color="auto"/>
        <w:left w:val="none" w:sz="0" w:space="0" w:color="auto"/>
        <w:bottom w:val="none" w:sz="0" w:space="0" w:color="auto"/>
        <w:right w:val="none" w:sz="0" w:space="0" w:color="auto"/>
      </w:divBdr>
      <w:divsChild>
        <w:div w:id="1705213405">
          <w:marLeft w:val="0"/>
          <w:marRight w:val="0"/>
          <w:marTop w:val="0"/>
          <w:marBottom w:val="0"/>
          <w:divBdr>
            <w:top w:val="none" w:sz="0" w:space="0" w:color="auto"/>
            <w:left w:val="none" w:sz="0" w:space="0" w:color="auto"/>
            <w:bottom w:val="none" w:sz="0" w:space="0" w:color="auto"/>
            <w:right w:val="none" w:sz="0" w:space="0" w:color="auto"/>
          </w:divBdr>
        </w:div>
      </w:divsChild>
    </w:div>
    <w:div w:id="1190990407">
      <w:bodyDiv w:val="1"/>
      <w:marLeft w:val="0"/>
      <w:marRight w:val="0"/>
      <w:marTop w:val="0"/>
      <w:marBottom w:val="0"/>
      <w:divBdr>
        <w:top w:val="none" w:sz="0" w:space="0" w:color="auto"/>
        <w:left w:val="none" w:sz="0" w:space="0" w:color="auto"/>
        <w:bottom w:val="none" w:sz="0" w:space="0" w:color="auto"/>
        <w:right w:val="none" w:sz="0" w:space="0" w:color="auto"/>
      </w:divBdr>
      <w:divsChild>
        <w:div w:id="1086728417">
          <w:marLeft w:val="0"/>
          <w:marRight w:val="0"/>
          <w:marTop w:val="0"/>
          <w:marBottom w:val="0"/>
          <w:divBdr>
            <w:top w:val="none" w:sz="0" w:space="0" w:color="auto"/>
            <w:left w:val="none" w:sz="0" w:space="0" w:color="auto"/>
            <w:bottom w:val="none" w:sz="0" w:space="0" w:color="auto"/>
            <w:right w:val="none" w:sz="0" w:space="0" w:color="auto"/>
          </w:divBdr>
        </w:div>
      </w:divsChild>
    </w:div>
    <w:div w:id="1842693516">
      <w:bodyDiv w:val="1"/>
      <w:marLeft w:val="0"/>
      <w:marRight w:val="0"/>
      <w:marTop w:val="0"/>
      <w:marBottom w:val="0"/>
      <w:divBdr>
        <w:top w:val="none" w:sz="0" w:space="0" w:color="auto"/>
        <w:left w:val="none" w:sz="0" w:space="0" w:color="auto"/>
        <w:bottom w:val="none" w:sz="0" w:space="0" w:color="auto"/>
        <w:right w:val="none" w:sz="0" w:space="0" w:color="auto"/>
      </w:divBdr>
      <w:divsChild>
        <w:div w:id="1241521981">
          <w:marLeft w:val="0"/>
          <w:marRight w:val="0"/>
          <w:marTop w:val="0"/>
          <w:marBottom w:val="0"/>
          <w:divBdr>
            <w:top w:val="none" w:sz="0" w:space="0" w:color="auto"/>
            <w:left w:val="none" w:sz="0" w:space="0" w:color="auto"/>
            <w:bottom w:val="none" w:sz="0" w:space="0" w:color="auto"/>
            <w:right w:val="none" w:sz="0" w:space="0" w:color="auto"/>
          </w:divBdr>
        </w:div>
      </w:divsChild>
    </w:div>
    <w:div w:id="2056806912">
      <w:bodyDiv w:val="1"/>
      <w:marLeft w:val="0"/>
      <w:marRight w:val="0"/>
      <w:marTop w:val="0"/>
      <w:marBottom w:val="0"/>
      <w:divBdr>
        <w:top w:val="none" w:sz="0" w:space="0" w:color="auto"/>
        <w:left w:val="none" w:sz="0" w:space="0" w:color="auto"/>
        <w:bottom w:val="none" w:sz="0" w:space="0" w:color="auto"/>
        <w:right w:val="none" w:sz="0" w:space="0" w:color="auto"/>
      </w:divBdr>
      <w:divsChild>
        <w:div w:id="162129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direct.com.proxy.library.vcu.edu/science/article/pii/S0190962209014996" TargetMode="External"/><Relationship Id="rId18" Type="http://schemas.openxmlformats.org/officeDocument/2006/relationships/hyperlink" Target="http://www.nature.com.proxy.library.vcu.edu/nrd/journal/v3/n5/full/nrd1383.html" TargetMode="External"/><Relationship Id="rId26" Type="http://schemas.openxmlformats.org/officeDocument/2006/relationships/hyperlink" Target="http://www.sciencedirect.com/science/article/pii/S0952327805000815" TargetMode="External"/><Relationship Id="rId3" Type="http://schemas.openxmlformats.org/officeDocument/2006/relationships/settings" Target="settings.xml"/><Relationship Id="rId21" Type="http://schemas.openxmlformats.org/officeDocument/2006/relationships/hyperlink" Target="http://www.sciencedirect.com.proxy.library.vcu.edu/science/article/pii/S0923181113000972" TargetMode="External"/><Relationship Id="rId7" Type="http://schemas.openxmlformats.org/officeDocument/2006/relationships/image" Target="media/image1.png"/><Relationship Id="rId12" Type="http://schemas.openxmlformats.org/officeDocument/2006/relationships/hyperlink" Target="http://www.sciencedirect.com.proxy.library.vcu.edu/science/article/pii/S0305417908000946" TargetMode="External"/><Relationship Id="rId17" Type="http://schemas.openxmlformats.org/officeDocument/2006/relationships/hyperlink" Target="http://www.jimmunol.org/content/164/4/1663.full.pdf+html" TargetMode="External"/><Relationship Id="rId25" Type="http://schemas.openxmlformats.org/officeDocument/2006/relationships/hyperlink" Target="http://www.nature.com/ncomms/2015/150616/ncomms8386/full/ncomms8386.html" TargetMode="External"/><Relationship Id="rId2" Type="http://schemas.openxmlformats.org/officeDocument/2006/relationships/styles" Target="styles.xml"/><Relationship Id="rId16" Type="http://schemas.openxmlformats.org/officeDocument/2006/relationships/hyperlink" Target="http://www-ncbi-nlm-nih-gov.proxy.library.vcu.edu/pmc/articles/PMC391698/" TargetMode="External"/><Relationship Id="rId20" Type="http://schemas.openxmlformats.org/officeDocument/2006/relationships/hyperlink" Target="http://onlinelibrary.wiley.com.proxy.library.vcu.edu/doi/10.1002/bjs.9636/abstrac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ncbi.nlm.nih.gov/pmc/articles/PMC404697/" TargetMode="External"/><Relationship Id="rId5" Type="http://schemas.openxmlformats.org/officeDocument/2006/relationships/footnotes" Target="footnotes.xml"/><Relationship Id="rId15" Type="http://schemas.openxmlformats.org/officeDocument/2006/relationships/hyperlink" Target="http://www.sciencedirect.com.proxy.library.vcu.edu/science/article/pii/S0952327805000815" TargetMode="External"/><Relationship Id="rId23" Type="http://schemas.openxmlformats.org/officeDocument/2006/relationships/hyperlink" Target="http://www.sciencedirect.com/science/article/pii/S1572346114000208" TargetMode="External"/><Relationship Id="rId28" Type="http://schemas.openxmlformats.org/officeDocument/2006/relationships/hyperlink" Target="http://www.ncbi.nlm.nih.gov/pmc/articles/PMC525611/" TargetMode="External"/><Relationship Id="rId10" Type="http://schemas.openxmlformats.org/officeDocument/2006/relationships/image" Target="media/image4.png"/><Relationship Id="rId19" Type="http://schemas.openxmlformats.org/officeDocument/2006/relationships/hyperlink" Target="http://www.nature.com/ni/journal/v2/n7/full/ni0701_61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nnualreviews.org.proxy.library.vcu.edu/doi/abs/10.1146/annurev.immunol.25.022106.141647" TargetMode="External"/><Relationship Id="rId22" Type="http://schemas.openxmlformats.org/officeDocument/2006/relationships/hyperlink" Target="http://bjsm.bmj.com/content/25/4/218" TargetMode="External"/><Relationship Id="rId27" Type="http://schemas.openxmlformats.org/officeDocument/2006/relationships/hyperlink" Target="http://link.springer.com/article/10.1007/BF025762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dc:creator>
  <cp:keywords/>
  <dc:description/>
  <cp:lastModifiedBy>Nate S.</cp:lastModifiedBy>
  <cp:revision>2</cp:revision>
  <dcterms:created xsi:type="dcterms:W3CDTF">2016-05-01T05:33:00Z</dcterms:created>
  <dcterms:modified xsi:type="dcterms:W3CDTF">2016-05-01T05:33:00Z</dcterms:modified>
</cp:coreProperties>
</file>