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7E" w:rsidRPr="000B107E" w:rsidRDefault="000B107E" w:rsidP="000B107E">
      <w:pPr>
        <w:jc w:val="center"/>
        <w:rPr>
          <w:rFonts w:ascii="Times New Roman" w:hAnsi="Times New Roman" w:cs="Times New Roman"/>
          <w:b/>
          <w:sz w:val="32"/>
        </w:rPr>
      </w:pPr>
      <w:proofErr w:type="spellStart"/>
      <w:r w:rsidRPr="000B107E">
        <w:rPr>
          <w:rFonts w:ascii="Times New Roman" w:hAnsi="Times New Roman" w:cs="Times New Roman"/>
          <w:b/>
          <w:sz w:val="32"/>
        </w:rPr>
        <w:t>Lysis</w:t>
      </w:r>
      <w:proofErr w:type="spellEnd"/>
      <w:r w:rsidRPr="000B107E">
        <w:rPr>
          <w:rFonts w:ascii="Times New Roman" w:hAnsi="Times New Roman" w:cs="Times New Roman"/>
          <w:b/>
          <w:sz w:val="32"/>
        </w:rPr>
        <w:t xml:space="preserve"> of </w:t>
      </w:r>
      <w:proofErr w:type="spellStart"/>
      <w:r w:rsidRPr="000B107E">
        <w:rPr>
          <w:rFonts w:ascii="Times New Roman" w:hAnsi="Times New Roman" w:cs="Times New Roman"/>
          <w:b/>
          <w:sz w:val="32"/>
        </w:rPr>
        <w:t>shiga</w:t>
      </w:r>
      <w:proofErr w:type="spellEnd"/>
      <w:r w:rsidRPr="000B107E">
        <w:rPr>
          <w:rFonts w:ascii="Times New Roman" w:hAnsi="Times New Roman" w:cs="Times New Roman"/>
          <w:b/>
          <w:sz w:val="32"/>
        </w:rPr>
        <w:t xml:space="preserve"> toxin-producing Escherichia coli by delivery of </w:t>
      </w:r>
      <w:proofErr w:type="spellStart"/>
      <w:r w:rsidRPr="000B107E">
        <w:rPr>
          <w:rFonts w:ascii="Times New Roman" w:hAnsi="Times New Roman" w:cs="Times New Roman"/>
          <w:b/>
          <w:sz w:val="32"/>
        </w:rPr>
        <w:t>Crispr</w:t>
      </w:r>
      <w:proofErr w:type="spellEnd"/>
      <w:r w:rsidRPr="000B107E">
        <w:rPr>
          <w:rFonts w:ascii="Times New Roman" w:hAnsi="Times New Roman" w:cs="Times New Roman"/>
          <w:b/>
          <w:sz w:val="32"/>
        </w:rPr>
        <w:t xml:space="preserve">/Cas9 cascade coding </w:t>
      </w:r>
      <w:proofErr w:type="spellStart"/>
      <w:r w:rsidRPr="000B107E">
        <w:rPr>
          <w:rFonts w:ascii="Times New Roman" w:hAnsi="Times New Roman" w:cs="Times New Roman"/>
          <w:b/>
          <w:sz w:val="32"/>
        </w:rPr>
        <w:t>cosmid</w:t>
      </w:r>
      <w:proofErr w:type="spellEnd"/>
      <w:r w:rsidRPr="000B107E">
        <w:rPr>
          <w:rFonts w:ascii="Times New Roman" w:hAnsi="Times New Roman" w:cs="Times New Roman"/>
          <w:b/>
          <w:sz w:val="32"/>
        </w:rPr>
        <w:t xml:space="preserve"> targeting </w:t>
      </w:r>
      <w:proofErr w:type="spellStart"/>
      <w:r w:rsidRPr="000B107E">
        <w:rPr>
          <w:rFonts w:ascii="Times New Roman" w:hAnsi="Times New Roman" w:cs="Times New Roman"/>
          <w:b/>
          <w:sz w:val="32"/>
        </w:rPr>
        <w:t>Stx</w:t>
      </w:r>
      <w:proofErr w:type="spellEnd"/>
      <w:r w:rsidRPr="000B107E">
        <w:rPr>
          <w:rFonts w:ascii="Times New Roman" w:hAnsi="Times New Roman" w:cs="Times New Roman"/>
          <w:b/>
          <w:sz w:val="32"/>
        </w:rPr>
        <w:t xml:space="preserve"> 1 and </w:t>
      </w:r>
      <w:proofErr w:type="spellStart"/>
      <w:r w:rsidRPr="000B107E">
        <w:rPr>
          <w:rFonts w:ascii="Times New Roman" w:hAnsi="Times New Roman" w:cs="Times New Roman"/>
          <w:b/>
          <w:sz w:val="32"/>
        </w:rPr>
        <w:t>Stx</w:t>
      </w:r>
      <w:proofErr w:type="spellEnd"/>
      <w:r w:rsidRPr="000B107E">
        <w:rPr>
          <w:rFonts w:ascii="Times New Roman" w:hAnsi="Times New Roman" w:cs="Times New Roman"/>
          <w:b/>
          <w:sz w:val="32"/>
        </w:rPr>
        <w:t xml:space="preserve"> 2 genes via lambda</w:t>
      </w:r>
    </w:p>
    <w:p w:rsidR="000B107E" w:rsidRPr="000B107E" w:rsidRDefault="000B107E" w:rsidP="000B107E">
      <w:pPr>
        <w:jc w:val="center"/>
        <w:rPr>
          <w:rFonts w:ascii="Times New Roman" w:hAnsi="Times New Roman" w:cs="Times New Roman"/>
        </w:rPr>
      </w:pPr>
      <w:r w:rsidRPr="000B107E">
        <w:rPr>
          <w:rFonts w:ascii="Times New Roman" w:hAnsi="Times New Roman" w:cs="Times New Roman"/>
        </w:rPr>
        <w:t>Amanda Rutledge</w:t>
      </w:r>
    </w:p>
    <w:p w:rsidR="00CB7017" w:rsidRDefault="000B107E">
      <w:pPr>
        <w:rPr>
          <w:rFonts w:ascii="Times New Roman" w:hAnsi="Times New Roman" w:cs="Times New Roman"/>
          <w:sz w:val="24"/>
          <w:szCs w:val="24"/>
        </w:rPr>
      </w:pPr>
      <w:r w:rsidRPr="000B107E">
        <w:rPr>
          <w:rFonts w:ascii="Times New Roman" w:hAnsi="Times New Roman" w:cs="Times New Roman"/>
          <w:sz w:val="24"/>
          <w:szCs w:val="24"/>
        </w:rPr>
        <w:t>Introduction</w:t>
      </w:r>
    </w:p>
    <w:p w:rsidR="000B107E" w:rsidRPr="00A70E41" w:rsidRDefault="000B107E" w:rsidP="000B107E">
      <w:pPr>
        <w:pStyle w:val="Default"/>
        <w:rPr>
          <w:iCs/>
          <w:szCs w:val="23"/>
        </w:rPr>
      </w:pPr>
      <w:r w:rsidRPr="00A70E41">
        <w:t xml:space="preserve">Consumption of food or water contaminated with specific strains of </w:t>
      </w:r>
      <w:r w:rsidRPr="00A70E41">
        <w:rPr>
          <w:i/>
          <w:iCs/>
          <w:szCs w:val="23"/>
        </w:rPr>
        <w:t>Escherichia coli</w:t>
      </w:r>
      <w:r w:rsidRPr="00A70E41">
        <w:rPr>
          <w:iCs/>
          <w:szCs w:val="23"/>
        </w:rPr>
        <w:t xml:space="preserve"> can cause dire illness and lead to development of more serious diseases such as hemolytic-uremic syndrome (HUS). </w:t>
      </w:r>
      <w:r w:rsidRPr="00A70E41">
        <w:rPr>
          <w:i/>
          <w:iCs/>
          <w:szCs w:val="23"/>
        </w:rPr>
        <w:t>E. coli</w:t>
      </w:r>
      <w:r w:rsidRPr="00A70E41">
        <w:rPr>
          <w:iCs/>
          <w:szCs w:val="23"/>
        </w:rPr>
        <w:t xml:space="preserve"> strains that can express the </w:t>
      </w:r>
      <w:proofErr w:type="spellStart"/>
      <w:r w:rsidRPr="00A70E41">
        <w:rPr>
          <w:iCs/>
          <w:szCs w:val="23"/>
        </w:rPr>
        <w:t>shiga</w:t>
      </w:r>
      <w:proofErr w:type="spellEnd"/>
      <w:r w:rsidRPr="00A70E41">
        <w:rPr>
          <w:iCs/>
          <w:szCs w:val="23"/>
        </w:rPr>
        <w:t xml:space="preserve"> toxin gene (</w:t>
      </w:r>
      <w:proofErr w:type="spellStart"/>
      <w:r w:rsidRPr="00A70E41">
        <w:rPr>
          <w:i/>
          <w:iCs/>
          <w:szCs w:val="23"/>
        </w:rPr>
        <w:t>Stx</w:t>
      </w:r>
      <w:proofErr w:type="spellEnd"/>
      <w:r w:rsidRPr="00A70E41">
        <w:rPr>
          <w:iCs/>
          <w:szCs w:val="23"/>
        </w:rPr>
        <w:t xml:space="preserve"> </w:t>
      </w:r>
      <w:r w:rsidRPr="00A70E41">
        <w:rPr>
          <w:i/>
          <w:iCs/>
          <w:szCs w:val="23"/>
        </w:rPr>
        <w:t>1</w:t>
      </w:r>
      <w:r w:rsidRPr="00A70E41">
        <w:rPr>
          <w:iCs/>
          <w:szCs w:val="23"/>
        </w:rPr>
        <w:t xml:space="preserve"> or </w:t>
      </w:r>
      <w:proofErr w:type="spellStart"/>
      <w:r w:rsidRPr="00A70E41">
        <w:rPr>
          <w:i/>
          <w:iCs/>
          <w:szCs w:val="23"/>
        </w:rPr>
        <w:t>Stx</w:t>
      </w:r>
      <w:proofErr w:type="spellEnd"/>
      <w:r w:rsidRPr="00A70E41">
        <w:rPr>
          <w:iCs/>
          <w:szCs w:val="23"/>
        </w:rPr>
        <w:t xml:space="preserve"> 2) are responsible for causing this foodborne illness, serotype O157:H7 being one of the most common. Of those who become infected with </w:t>
      </w:r>
      <w:proofErr w:type="spellStart"/>
      <w:r w:rsidRPr="00A70E41">
        <w:rPr>
          <w:iCs/>
          <w:szCs w:val="23"/>
        </w:rPr>
        <w:t>shiga</w:t>
      </w:r>
      <w:proofErr w:type="spellEnd"/>
      <w:r w:rsidRPr="00A70E41">
        <w:rPr>
          <w:iCs/>
          <w:szCs w:val="23"/>
        </w:rPr>
        <w:t xml:space="preserve"> toxin-producing E. coli (STEC), 5%-10% are expected to develop HUS, especially children and elderly persons [1]. </w:t>
      </w:r>
    </w:p>
    <w:p w:rsidR="000B107E" w:rsidRDefault="000B107E" w:rsidP="000B107E">
      <w:pPr>
        <w:pStyle w:val="Default"/>
        <w:rPr>
          <w:i/>
          <w:iCs/>
          <w:szCs w:val="23"/>
        </w:rPr>
      </w:pPr>
    </w:p>
    <w:p w:rsidR="000B107E" w:rsidRPr="00A70E41" w:rsidRDefault="000B107E" w:rsidP="000B107E">
      <w:pPr>
        <w:pStyle w:val="Default"/>
        <w:rPr>
          <w:iCs/>
          <w:szCs w:val="23"/>
        </w:rPr>
      </w:pPr>
      <w:r w:rsidRPr="00A70E41">
        <w:rPr>
          <w:i/>
          <w:iCs/>
          <w:szCs w:val="23"/>
        </w:rPr>
        <w:t>E. coli</w:t>
      </w:r>
      <w:r w:rsidRPr="00A70E41">
        <w:rPr>
          <w:iCs/>
          <w:szCs w:val="23"/>
        </w:rPr>
        <w:t xml:space="preserve"> become capable of producing </w:t>
      </w:r>
      <w:proofErr w:type="spellStart"/>
      <w:r w:rsidRPr="00A70E41">
        <w:rPr>
          <w:iCs/>
          <w:szCs w:val="23"/>
        </w:rPr>
        <w:t>shiga</w:t>
      </w:r>
      <w:proofErr w:type="spellEnd"/>
      <w:r w:rsidRPr="00A70E41">
        <w:rPr>
          <w:iCs/>
          <w:szCs w:val="23"/>
        </w:rPr>
        <w:t xml:space="preserve"> toxins when a bacteriophage that contains the gene for </w:t>
      </w:r>
      <w:proofErr w:type="spellStart"/>
      <w:r w:rsidRPr="00A70E41">
        <w:rPr>
          <w:iCs/>
          <w:szCs w:val="23"/>
        </w:rPr>
        <w:t>Stx</w:t>
      </w:r>
      <w:proofErr w:type="spellEnd"/>
      <w:r w:rsidRPr="00A70E41">
        <w:rPr>
          <w:iCs/>
          <w:szCs w:val="23"/>
        </w:rPr>
        <w:t xml:space="preserve"> integrates its own DNA into the genome of the </w:t>
      </w:r>
      <w:r w:rsidRPr="00A70E41">
        <w:rPr>
          <w:i/>
          <w:iCs/>
          <w:szCs w:val="23"/>
        </w:rPr>
        <w:t>E. coli</w:t>
      </w:r>
      <w:r w:rsidRPr="00A70E41">
        <w:rPr>
          <w:iCs/>
          <w:szCs w:val="23"/>
        </w:rPr>
        <w:t xml:space="preserve">, a process known as </w:t>
      </w:r>
      <w:proofErr w:type="spellStart"/>
      <w:r w:rsidRPr="00A70E41">
        <w:rPr>
          <w:iCs/>
          <w:szCs w:val="23"/>
        </w:rPr>
        <w:t>lysogenesis</w:t>
      </w:r>
      <w:proofErr w:type="spellEnd"/>
      <w:r w:rsidRPr="00A70E41">
        <w:rPr>
          <w:iCs/>
          <w:szCs w:val="23"/>
        </w:rPr>
        <w:t xml:space="preserve"> [2]. </w:t>
      </w:r>
      <w:proofErr w:type="spellStart"/>
      <w:r w:rsidRPr="00A70E41">
        <w:rPr>
          <w:iCs/>
          <w:szCs w:val="23"/>
        </w:rPr>
        <w:t>Stx</w:t>
      </w:r>
      <w:proofErr w:type="spellEnd"/>
      <w:r w:rsidRPr="00A70E41">
        <w:rPr>
          <w:iCs/>
          <w:szCs w:val="23"/>
        </w:rPr>
        <w:t xml:space="preserve"> genes are part of the late gene regions of the </w:t>
      </w:r>
      <w:proofErr w:type="spellStart"/>
      <w:r w:rsidRPr="00A70E41">
        <w:rPr>
          <w:iCs/>
          <w:szCs w:val="23"/>
        </w:rPr>
        <w:t>prophage</w:t>
      </w:r>
      <w:proofErr w:type="spellEnd"/>
      <w:r w:rsidRPr="00A70E41">
        <w:rPr>
          <w:iCs/>
          <w:szCs w:val="23"/>
        </w:rPr>
        <w:t xml:space="preserve"> – phage genome integrated into the host’s – which are genes expressed only after the induction of the lytic cycle [3]. After induction of the lytic cycle, early phage genes are transcribed which code for proteins that allow RNA polymerase to bypass transcription terminators of later genes, allowing them to be expressed. Once the </w:t>
      </w:r>
      <w:proofErr w:type="spellStart"/>
      <w:r w:rsidRPr="00A70E41">
        <w:rPr>
          <w:iCs/>
          <w:szCs w:val="23"/>
        </w:rPr>
        <w:t>shiga</w:t>
      </w:r>
      <w:proofErr w:type="spellEnd"/>
      <w:r w:rsidRPr="00A70E41">
        <w:rPr>
          <w:iCs/>
          <w:szCs w:val="23"/>
        </w:rPr>
        <w:t xml:space="preserve"> toxin is secreted out of the </w:t>
      </w:r>
      <w:r w:rsidRPr="00A70E41">
        <w:rPr>
          <w:i/>
          <w:iCs/>
          <w:szCs w:val="23"/>
        </w:rPr>
        <w:t>E. coli</w:t>
      </w:r>
      <w:r w:rsidRPr="00A70E41">
        <w:rPr>
          <w:iCs/>
          <w:szCs w:val="23"/>
        </w:rPr>
        <w:t xml:space="preserve">, it may invade surrounding tissues by passing through or in-between cells, or translocation through intact epithelial cells [4]. The toxin can travel to the kidneys, where they are taken up by cells with </w:t>
      </w:r>
      <w:proofErr w:type="spellStart"/>
      <w:r w:rsidRPr="00A70E41">
        <w:rPr>
          <w:iCs/>
          <w:szCs w:val="23"/>
        </w:rPr>
        <w:t>globotriaosylceramide</w:t>
      </w:r>
      <w:proofErr w:type="spellEnd"/>
      <w:r w:rsidRPr="00A70E41">
        <w:rPr>
          <w:iCs/>
          <w:szCs w:val="23"/>
        </w:rPr>
        <w:t xml:space="preserve"> (Gb3) receptors, and once in the cell, the toxin inhibits the host’s protein synthesis [5]. This </w:t>
      </w:r>
      <w:proofErr w:type="spellStart"/>
      <w:r w:rsidRPr="00A70E41">
        <w:rPr>
          <w:iCs/>
          <w:szCs w:val="23"/>
        </w:rPr>
        <w:t>proapoptotic</w:t>
      </w:r>
      <w:proofErr w:type="spellEnd"/>
      <w:r w:rsidRPr="00A70E41">
        <w:rPr>
          <w:iCs/>
          <w:szCs w:val="23"/>
        </w:rPr>
        <w:t xml:space="preserve"> stimulus is thought to cause HUS.</w:t>
      </w:r>
    </w:p>
    <w:p w:rsidR="000B107E" w:rsidRDefault="000B107E" w:rsidP="000B107E">
      <w:pPr>
        <w:pStyle w:val="Default"/>
        <w:rPr>
          <w:iCs/>
          <w:szCs w:val="23"/>
        </w:rPr>
      </w:pPr>
    </w:p>
    <w:p w:rsidR="000B107E" w:rsidRDefault="000B107E" w:rsidP="000B107E">
      <w:pPr>
        <w:pStyle w:val="Default"/>
        <w:rPr>
          <w:iCs/>
          <w:szCs w:val="23"/>
        </w:rPr>
      </w:pPr>
      <w:r w:rsidRPr="00A70E41">
        <w:rPr>
          <w:iCs/>
          <w:szCs w:val="23"/>
        </w:rPr>
        <w:t xml:space="preserve">There are no current methods of treatment when sick with STEC, so it’s important for precautions to be taken at the source. There are several methods of prevention that include exposure reduction, exclusion reduction and direct anti-pathogen strategies. Exposure reduction strategies include providing cattle with clean water, feed, and a spacious environment to limit interaction between cattle. An example of exclusion reduction is use of chlorine treatment in water to lower transmission of pathogens. Water and feed additives are utilized for prevention as well. Adding antibiotics and probiotics to feed has been shown to decrease E. coli O157:H7 shedding. [6] </w:t>
      </w:r>
    </w:p>
    <w:p w:rsidR="000B107E" w:rsidRDefault="000B107E" w:rsidP="000B107E">
      <w:pPr>
        <w:pStyle w:val="Default"/>
        <w:rPr>
          <w:iCs/>
          <w:szCs w:val="23"/>
        </w:rPr>
      </w:pPr>
    </w:p>
    <w:p w:rsidR="000B107E" w:rsidRDefault="000B107E" w:rsidP="000B107E">
      <w:pPr>
        <w:pStyle w:val="Default"/>
        <w:rPr>
          <w:iCs/>
          <w:szCs w:val="23"/>
        </w:rPr>
      </w:pPr>
      <w:r w:rsidRPr="00A70E41">
        <w:rPr>
          <w:iCs/>
          <w:szCs w:val="23"/>
        </w:rPr>
        <w:t xml:space="preserve">Taking antibiotics while sick with STEC is advised against. Antibiotic attacks on the cell and its DNA lead to an SOS response when transcription is increased. This SOS response can lead to an excess of </w:t>
      </w:r>
      <w:proofErr w:type="spellStart"/>
      <w:r w:rsidRPr="00A70E41">
        <w:rPr>
          <w:iCs/>
          <w:szCs w:val="23"/>
        </w:rPr>
        <w:t>shiga</w:t>
      </w:r>
      <w:proofErr w:type="spellEnd"/>
      <w:r w:rsidRPr="00A70E41">
        <w:rPr>
          <w:iCs/>
          <w:szCs w:val="23"/>
        </w:rPr>
        <w:t xml:space="preserve"> toxin production, which can increase the permit damage of having this pathogen. For many years, it was debated whether or not antibiotics caused this response due to mixed results from many experiments. It was found that various antibiotics have differing effects, depending on the strain of </w:t>
      </w:r>
      <w:r w:rsidRPr="00A70E41">
        <w:rPr>
          <w:i/>
          <w:iCs/>
          <w:szCs w:val="23"/>
        </w:rPr>
        <w:t>E. coli</w:t>
      </w:r>
      <w:r w:rsidRPr="00A70E41">
        <w:rPr>
          <w:iCs/>
          <w:szCs w:val="23"/>
        </w:rPr>
        <w:t xml:space="preserve"> causing the infection [7]</w:t>
      </w:r>
      <w:r>
        <w:rPr>
          <w:iCs/>
          <w:szCs w:val="23"/>
        </w:rPr>
        <w:t xml:space="preserve">. This, coupled with depletion of the host’s </w:t>
      </w:r>
      <w:proofErr w:type="spellStart"/>
      <w:r>
        <w:rPr>
          <w:iCs/>
          <w:szCs w:val="23"/>
        </w:rPr>
        <w:t>microbiome</w:t>
      </w:r>
      <w:proofErr w:type="spellEnd"/>
      <w:r>
        <w:rPr>
          <w:iCs/>
          <w:szCs w:val="23"/>
        </w:rPr>
        <w:t>, is why it is best for antibiotics to be avoided.</w:t>
      </w:r>
    </w:p>
    <w:p w:rsidR="000B107E" w:rsidRDefault="000B107E" w:rsidP="000B107E">
      <w:pPr>
        <w:pStyle w:val="Default"/>
        <w:rPr>
          <w:iCs/>
          <w:szCs w:val="23"/>
        </w:rPr>
      </w:pPr>
    </w:p>
    <w:p w:rsidR="000B107E" w:rsidRDefault="000B107E" w:rsidP="000B107E">
      <w:pPr>
        <w:pStyle w:val="Default"/>
        <w:rPr>
          <w:iCs/>
          <w:szCs w:val="23"/>
        </w:rPr>
      </w:pPr>
      <w:r>
        <w:rPr>
          <w:iCs/>
          <w:szCs w:val="23"/>
        </w:rPr>
        <w:lastRenderedPageBreak/>
        <w:t xml:space="preserve">Here, a method of possible treatment of </w:t>
      </w:r>
      <w:proofErr w:type="spellStart"/>
      <w:r>
        <w:rPr>
          <w:iCs/>
          <w:szCs w:val="23"/>
        </w:rPr>
        <w:t>shiga</w:t>
      </w:r>
      <w:proofErr w:type="spellEnd"/>
      <w:r>
        <w:rPr>
          <w:iCs/>
          <w:szCs w:val="23"/>
        </w:rPr>
        <w:t xml:space="preserve"> toxin-producing </w:t>
      </w:r>
      <w:r w:rsidRPr="00452F00">
        <w:rPr>
          <w:i/>
          <w:iCs/>
          <w:szCs w:val="23"/>
        </w:rPr>
        <w:t>E. coli</w:t>
      </w:r>
      <w:r>
        <w:rPr>
          <w:iCs/>
          <w:szCs w:val="23"/>
        </w:rPr>
        <w:t xml:space="preserve">-related illness is designed, one that could attack STEC cells without triggering </w:t>
      </w:r>
      <w:proofErr w:type="spellStart"/>
      <w:r>
        <w:rPr>
          <w:iCs/>
          <w:szCs w:val="23"/>
        </w:rPr>
        <w:t>stx</w:t>
      </w:r>
      <w:proofErr w:type="spellEnd"/>
      <w:r>
        <w:rPr>
          <w:iCs/>
          <w:szCs w:val="23"/>
        </w:rPr>
        <w:t xml:space="preserve"> gene transcription. Utilization of a </w:t>
      </w:r>
      <w:proofErr w:type="spellStart"/>
      <w:r>
        <w:rPr>
          <w:iCs/>
          <w:szCs w:val="23"/>
        </w:rPr>
        <w:t>Crispr</w:t>
      </w:r>
      <w:proofErr w:type="spellEnd"/>
      <w:r>
        <w:rPr>
          <w:iCs/>
          <w:szCs w:val="23"/>
        </w:rPr>
        <w:t xml:space="preserve">/Cas9 system will allow for recognition and cutting of a specific DNA sequence, in this case, the </w:t>
      </w:r>
      <w:proofErr w:type="spellStart"/>
      <w:r>
        <w:rPr>
          <w:iCs/>
          <w:szCs w:val="23"/>
        </w:rPr>
        <w:t>shiga</w:t>
      </w:r>
      <w:proofErr w:type="spellEnd"/>
      <w:r>
        <w:rPr>
          <w:iCs/>
          <w:szCs w:val="23"/>
        </w:rPr>
        <w:t xml:space="preserve"> toxin gene. Delivery of a </w:t>
      </w:r>
      <w:proofErr w:type="spellStart"/>
      <w:r>
        <w:rPr>
          <w:iCs/>
          <w:szCs w:val="23"/>
        </w:rPr>
        <w:t>cosmid</w:t>
      </w:r>
      <w:proofErr w:type="spellEnd"/>
      <w:r>
        <w:rPr>
          <w:iCs/>
          <w:szCs w:val="23"/>
        </w:rPr>
        <w:t xml:space="preserve"> coding for a </w:t>
      </w:r>
      <w:proofErr w:type="spellStart"/>
      <w:r>
        <w:rPr>
          <w:iCs/>
          <w:szCs w:val="23"/>
        </w:rPr>
        <w:t>Crispr</w:t>
      </w:r>
      <w:proofErr w:type="spellEnd"/>
      <w:r>
        <w:rPr>
          <w:iCs/>
          <w:szCs w:val="23"/>
        </w:rPr>
        <w:t xml:space="preserve"> cascade via a lambda phage delivery system allows for selective infection of bacteria of the host’s </w:t>
      </w:r>
      <w:proofErr w:type="spellStart"/>
      <w:r>
        <w:rPr>
          <w:iCs/>
          <w:szCs w:val="23"/>
        </w:rPr>
        <w:t>microbiome</w:t>
      </w:r>
      <w:proofErr w:type="spellEnd"/>
      <w:r>
        <w:rPr>
          <w:iCs/>
          <w:szCs w:val="23"/>
        </w:rPr>
        <w:t xml:space="preserve">, only targeting </w:t>
      </w:r>
      <w:r w:rsidRPr="00FA6F30">
        <w:rPr>
          <w:i/>
          <w:iCs/>
          <w:szCs w:val="23"/>
        </w:rPr>
        <w:t>E. coli</w:t>
      </w:r>
      <w:r>
        <w:rPr>
          <w:iCs/>
          <w:szCs w:val="23"/>
        </w:rPr>
        <w:t xml:space="preserve">. While this would allow infection of harmless e coli cells as well, since they do not contain the </w:t>
      </w:r>
      <w:proofErr w:type="spellStart"/>
      <w:r>
        <w:rPr>
          <w:iCs/>
          <w:szCs w:val="23"/>
        </w:rPr>
        <w:t>Stx</w:t>
      </w:r>
      <w:proofErr w:type="spellEnd"/>
      <w:r>
        <w:rPr>
          <w:iCs/>
          <w:szCs w:val="23"/>
        </w:rPr>
        <w:t xml:space="preserve"> gene, their DNA will not be cut, avoiding cell </w:t>
      </w:r>
      <w:proofErr w:type="spellStart"/>
      <w:r>
        <w:rPr>
          <w:iCs/>
          <w:szCs w:val="23"/>
        </w:rPr>
        <w:t>lysis</w:t>
      </w:r>
      <w:proofErr w:type="spellEnd"/>
      <w:r>
        <w:rPr>
          <w:iCs/>
          <w:szCs w:val="23"/>
        </w:rPr>
        <w:t xml:space="preserve"> when the </w:t>
      </w:r>
      <w:proofErr w:type="spellStart"/>
      <w:r>
        <w:rPr>
          <w:iCs/>
          <w:szCs w:val="23"/>
        </w:rPr>
        <w:t>Crispr</w:t>
      </w:r>
      <w:proofErr w:type="spellEnd"/>
      <w:r>
        <w:rPr>
          <w:iCs/>
          <w:szCs w:val="23"/>
        </w:rPr>
        <w:t xml:space="preserve"> cascade has been translated.</w:t>
      </w:r>
    </w:p>
    <w:p w:rsidR="000B107E" w:rsidRDefault="000B107E" w:rsidP="000B107E">
      <w:pPr>
        <w:pStyle w:val="Default"/>
        <w:rPr>
          <w:iCs/>
          <w:szCs w:val="23"/>
        </w:rPr>
      </w:pPr>
    </w:p>
    <w:p w:rsidR="006A1D6E" w:rsidRDefault="006A1D6E" w:rsidP="000B107E">
      <w:pPr>
        <w:pStyle w:val="Default"/>
        <w:rPr>
          <w:iCs/>
          <w:szCs w:val="23"/>
        </w:rPr>
      </w:pPr>
      <w:r>
        <w:rPr>
          <w:iCs/>
          <w:szCs w:val="23"/>
        </w:rPr>
        <w:t>Experiment</w:t>
      </w:r>
    </w:p>
    <w:p w:rsidR="006A1D6E" w:rsidRDefault="006A1D6E" w:rsidP="000B107E">
      <w:pPr>
        <w:pStyle w:val="Default"/>
        <w:rPr>
          <w:iCs/>
          <w:szCs w:val="23"/>
        </w:rPr>
      </w:pPr>
    </w:p>
    <w:p w:rsidR="00EE1CEC" w:rsidRDefault="00EE1CEC" w:rsidP="00EE1CEC">
      <w:pPr>
        <w:pStyle w:val="Default"/>
        <w:rPr>
          <w:iCs/>
          <w:szCs w:val="23"/>
        </w:rPr>
      </w:pPr>
      <w:r>
        <w:rPr>
          <w:iCs/>
          <w:szCs w:val="23"/>
        </w:rPr>
        <w:t xml:space="preserve">In order to control transcription of the </w:t>
      </w:r>
      <w:proofErr w:type="spellStart"/>
      <w:r>
        <w:rPr>
          <w:iCs/>
          <w:szCs w:val="23"/>
        </w:rPr>
        <w:t>Crispr</w:t>
      </w:r>
      <w:proofErr w:type="spellEnd"/>
      <w:r>
        <w:rPr>
          <w:iCs/>
          <w:szCs w:val="23"/>
        </w:rPr>
        <w:t xml:space="preserve">/Cas9 genes in our </w:t>
      </w:r>
      <w:proofErr w:type="spellStart"/>
      <w:r>
        <w:rPr>
          <w:iCs/>
          <w:szCs w:val="23"/>
        </w:rPr>
        <w:t>cosmid</w:t>
      </w:r>
      <w:proofErr w:type="spellEnd"/>
      <w:r>
        <w:rPr>
          <w:iCs/>
          <w:szCs w:val="23"/>
        </w:rPr>
        <w:t xml:space="preserve"> during construction of these phage delivery systems, there needs to be a repressor present. The plasmid pACYC184 can be edited to replace the region between </w:t>
      </w:r>
      <w:proofErr w:type="spellStart"/>
      <w:r>
        <w:rPr>
          <w:iCs/>
          <w:szCs w:val="23"/>
        </w:rPr>
        <w:t>HindIII</w:t>
      </w:r>
      <w:proofErr w:type="spellEnd"/>
      <w:r>
        <w:rPr>
          <w:iCs/>
          <w:szCs w:val="23"/>
        </w:rPr>
        <w:t xml:space="preserve"> and </w:t>
      </w:r>
      <w:proofErr w:type="spellStart"/>
      <w:r>
        <w:rPr>
          <w:iCs/>
          <w:szCs w:val="23"/>
        </w:rPr>
        <w:t>AvaI</w:t>
      </w:r>
      <w:proofErr w:type="spellEnd"/>
      <w:r>
        <w:rPr>
          <w:iCs/>
          <w:szCs w:val="23"/>
        </w:rPr>
        <w:t xml:space="preserve"> with a </w:t>
      </w:r>
      <w:proofErr w:type="spellStart"/>
      <w:r>
        <w:rPr>
          <w:iCs/>
          <w:szCs w:val="23"/>
        </w:rPr>
        <w:t>Tet</w:t>
      </w:r>
      <w:proofErr w:type="spellEnd"/>
      <w:r>
        <w:rPr>
          <w:iCs/>
          <w:szCs w:val="23"/>
        </w:rPr>
        <w:t xml:space="preserve"> repressor gene. The main </w:t>
      </w:r>
      <w:proofErr w:type="spellStart"/>
      <w:r>
        <w:rPr>
          <w:iCs/>
          <w:szCs w:val="23"/>
        </w:rPr>
        <w:t>cosmid</w:t>
      </w:r>
      <w:proofErr w:type="spellEnd"/>
      <w:r>
        <w:rPr>
          <w:iCs/>
          <w:szCs w:val="23"/>
        </w:rPr>
        <w:t xml:space="preserve"> will contain </w:t>
      </w:r>
      <w:proofErr w:type="spellStart"/>
      <w:r>
        <w:rPr>
          <w:iCs/>
          <w:szCs w:val="23"/>
        </w:rPr>
        <w:t>Tet</w:t>
      </w:r>
      <w:proofErr w:type="spellEnd"/>
      <w:r>
        <w:rPr>
          <w:iCs/>
          <w:szCs w:val="23"/>
        </w:rPr>
        <w:t xml:space="preserve"> promoters, which the product of the </w:t>
      </w:r>
      <w:proofErr w:type="spellStart"/>
      <w:r>
        <w:rPr>
          <w:iCs/>
          <w:szCs w:val="23"/>
        </w:rPr>
        <w:t>Tet</w:t>
      </w:r>
      <w:proofErr w:type="spellEnd"/>
      <w:r>
        <w:rPr>
          <w:iCs/>
          <w:szCs w:val="23"/>
        </w:rPr>
        <w:t xml:space="preserve"> repressor gene will block the binding of DNA polymerase to. This plasmid would be used so transcription of the main </w:t>
      </w:r>
      <w:proofErr w:type="spellStart"/>
      <w:r>
        <w:rPr>
          <w:iCs/>
          <w:szCs w:val="23"/>
        </w:rPr>
        <w:t>cosmid</w:t>
      </w:r>
      <w:proofErr w:type="spellEnd"/>
      <w:r>
        <w:rPr>
          <w:iCs/>
          <w:szCs w:val="23"/>
        </w:rPr>
        <w:t xml:space="preserve"> genes would be blocked while packaging the </w:t>
      </w:r>
      <w:proofErr w:type="spellStart"/>
      <w:r>
        <w:rPr>
          <w:iCs/>
          <w:szCs w:val="23"/>
        </w:rPr>
        <w:t>cosmid</w:t>
      </w:r>
      <w:proofErr w:type="spellEnd"/>
      <w:r>
        <w:rPr>
          <w:iCs/>
          <w:szCs w:val="23"/>
        </w:rPr>
        <w:t>.</w:t>
      </w:r>
      <w:r w:rsidRPr="00041263">
        <w:rPr>
          <w:iCs/>
          <w:szCs w:val="23"/>
        </w:rPr>
        <w:t xml:space="preserve"> </w:t>
      </w:r>
      <w:r>
        <w:rPr>
          <w:iCs/>
          <w:szCs w:val="23"/>
        </w:rPr>
        <w:t xml:space="preserve">The main </w:t>
      </w:r>
      <w:proofErr w:type="spellStart"/>
      <w:r>
        <w:rPr>
          <w:iCs/>
          <w:szCs w:val="23"/>
        </w:rPr>
        <w:t>cosmid</w:t>
      </w:r>
      <w:proofErr w:type="spellEnd"/>
      <w:r>
        <w:rPr>
          <w:iCs/>
          <w:szCs w:val="23"/>
        </w:rPr>
        <w:t xml:space="preserve"> will be constructed out of the plasmid pUC18. A functioning </w:t>
      </w:r>
      <w:proofErr w:type="spellStart"/>
      <w:r>
        <w:rPr>
          <w:iCs/>
          <w:szCs w:val="23"/>
        </w:rPr>
        <w:t>cos</w:t>
      </w:r>
      <w:proofErr w:type="spellEnd"/>
      <w:r>
        <w:rPr>
          <w:iCs/>
          <w:szCs w:val="23"/>
        </w:rPr>
        <w:t xml:space="preserve"> site, which is the site of DNA packaging in phage, will be introduced to the plasmid, making it a “</w:t>
      </w:r>
      <w:proofErr w:type="spellStart"/>
      <w:r>
        <w:rPr>
          <w:iCs/>
          <w:szCs w:val="23"/>
        </w:rPr>
        <w:t>cosmid</w:t>
      </w:r>
      <w:proofErr w:type="spellEnd"/>
      <w:r>
        <w:rPr>
          <w:iCs/>
          <w:szCs w:val="23"/>
        </w:rPr>
        <w:t xml:space="preserve">”. Using Gibson assembly, the </w:t>
      </w:r>
      <w:proofErr w:type="spellStart"/>
      <w:r>
        <w:rPr>
          <w:iCs/>
          <w:szCs w:val="23"/>
        </w:rPr>
        <w:t>Crispr</w:t>
      </w:r>
      <w:proofErr w:type="spellEnd"/>
      <w:r>
        <w:rPr>
          <w:iCs/>
          <w:szCs w:val="23"/>
        </w:rPr>
        <w:t xml:space="preserve"> cascade can be constructed with the </w:t>
      </w:r>
      <w:proofErr w:type="spellStart"/>
      <w:r>
        <w:rPr>
          <w:iCs/>
          <w:szCs w:val="23"/>
        </w:rPr>
        <w:t>Tet</w:t>
      </w:r>
      <w:proofErr w:type="spellEnd"/>
      <w:r>
        <w:rPr>
          <w:iCs/>
          <w:szCs w:val="23"/>
        </w:rPr>
        <w:t xml:space="preserve"> promoter that is to be block by the </w:t>
      </w:r>
      <w:proofErr w:type="spellStart"/>
      <w:r>
        <w:rPr>
          <w:iCs/>
          <w:szCs w:val="23"/>
        </w:rPr>
        <w:t>Tet</w:t>
      </w:r>
      <w:proofErr w:type="spellEnd"/>
      <w:r>
        <w:rPr>
          <w:iCs/>
          <w:szCs w:val="23"/>
        </w:rPr>
        <w:t xml:space="preserve"> repressor.</w:t>
      </w:r>
    </w:p>
    <w:p w:rsidR="006A1D6E" w:rsidRDefault="006A1D6E" w:rsidP="000B107E">
      <w:pPr>
        <w:pStyle w:val="Default"/>
        <w:rPr>
          <w:iCs/>
          <w:szCs w:val="23"/>
        </w:rPr>
      </w:pPr>
    </w:p>
    <w:p w:rsidR="00C41F5B" w:rsidRDefault="00C41F5B" w:rsidP="00C41F5B">
      <w:pPr>
        <w:pStyle w:val="Default"/>
        <w:rPr>
          <w:iCs/>
          <w:szCs w:val="23"/>
        </w:rPr>
      </w:pPr>
      <w:r>
        <w:rPr>
          <w:iCs/>
          <w:szCs w:val="23"/>
        </w:rPr>
        <w:t xml:space="preserve">The modified Lambda phage, pCY1591, constructed by </w:t>
      </w:r>
      <w:proofErr w:type="spellStart"/>
      <w:r>
        <w:rPr>
          <w:iCs/>
          <w:szCs w:val="23"/>
        </w:rPr>
        <w:t>Cronan</w:t>
      </w:r>
      <w:proofErr w:type="spellEnd"/>
      <w:r>
        <w:rPr>
          <w:iCs/>
          <w:szCs w:val="23"/>
        </w:rPr>
        <w:t xml:space="preserve"> [8] will be utilized because it’s </w:t>
      </w:r>
      <w:proofErr w:type="spellStart"/>
      <w:r>
        <w:rPr>
          <w:iCs/>
          <w:szCs w:val="23"/>
        </w:rPr>
        <w:t>cos</w:t>
      </w:r>
      <w:proofErr w:type="spellEnd"/>
      <w:r>
        <w:rPr>
          <w:iCs/>
          <w:szCs w:val="23"/>
        </w:rPr>
        <w:t xml:space="preserve"> site is interrupted by a kanamycin resistance gene, disabling the phage’s ability to package its own DNA during cell </w:t>
      </w:r>
      <w:proofErr w:type="spellStart"/>
      <w:r>
        <w:rPr>
          <w:iCs/>
          <w:szCs w:val="23"/>
        </w:rPr>
        <w:t>lysis</w:t>
      </w:r>
      <w:proofErr w:type="spellEnd"/>
      <w:r>
        <w:rPr>
          <w:iCs/>
          <w:szCs w:val="23"/>
        </w:rPr>
        <w:t xml:space="preserve">. Instead, when the lytic cycle is thermally induced, the </w:t>
      </w:r>
      <w:proofErr w:type="spellStart"/>
      <w:r>
        <w:rPr>
          <w:iCs/>
          <w:szCs w:val="23"/>
        </w:rPr>
        <w:t>cos</w:t>
      </w:r>
      <w:proofErr w:type="spellEnd"/>
      <w:r>
        <w:rPr>
          <w:iCs/>
          <w:szCs w:val="23"/>
        </w:rPr>
        <w:t xml:space="preserve"> site on the </w:t>
      </w:r>
      <w:proofErr w:type="spellStart"/>
      <w:r>
        <w:rPr>
          <w:iCs/>
          <w:szCs w:val="23"/>
        </w:rPr>
        <w:t>cosmid</w:t>
      </w:r>
      <w:proofErr w:type="spellEnd"/>
      <w:r>
        <w:rPr>
          <w:iCs/>
          <w:szCs w:val="23"/>
        </w:rPr>
        <w:t xml:space="preserve"> will be recognized, leading to the packaging of the </w:t>
      </w:r>
      <w:proofErr w:type="spellStart"/>
      <w:r>
        <w:rPr>
          <w:iCs/>
          <w:szCs w:val="23"/>
        </w:rPr>
        <w:t>Crispr</w:t>
      </w:r>
      <w:proofErr w:type="spellEnd"/>
      <w:r>
        <w:rPr>
          <w:iCs/>
          <w:szCs w:val="23"/>
        </w:rPr>
        <w:t xml:space="preserve"> cascade genes. The new </w:t>
      </w:r>
      <w:proofErr w:type="spellStart"/>
      <w:r>
        <w:rPr>
          <w:iCs/>
          <w:szCs w:val="23"/>
        </w:rPr>
        <w:t>cosmid</w:t>
      </w:r>
      <w:proofErr w:type="spellEnd"/>
      <w:r>
        <w:rPr>
          <w:iCs/>
          <w:szCs w:val="23"/>
        </w:rPr>
        <w:t xml:space="preserve">-containing phage can then be collected and tested for proper packaging. </w:t>
      </w:r>
    </w:p>
    <w:p w:rsidR="00EE1CEC" w:rsidRDefault="00EE1CEC"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r>
        <w:rPr>
          <w:iCs/>
          <w:szCs w:val="23"/>
        </w:rPr>
        <w:t>References</w:t>
      </w:r>
    </w:p>
    <w:p w:rsidR="006A1D6E" w:rsidRPr="00A70E41" w:rsidRDefault="006A1D6E" w:rsidP="006A1D6E">
      <w:pPr>
        <w:spacing w:before="100" w:beforeAutospacing="1" w:after="100" w:afterAutospacing="1" w:line="240" w:lineRule="auto"/>
        <w:rPr>
          <w:rFonts w:ascii="Times New Roman" w:eastAsia="Times New Roman" w:hAnsi="Times New Roman" w:cs="Times New Roman"/>
          <w:i/>
          <w:iCs/>
          <w:sz w:val="24"/>
          <w:szCs w:val="24"/>
        </w:rPr>
      </w:pPr>
      <w:r w:rsidRPr="00A70E41">
        <w:rPr>
          <w:rFonts w:ascii="Times New Roman" w:eastAsia="Times New Roman" w:hAnsi="Times New Roman" w:cs="Times New Roman"/>
          <w:sz w:val="24"/>
          <w:szCs w:val="24"/>
        </w:rPr>
        <w:t>1. Thorpe CM</w:t>
      </w:r>
      <w:r w:rsidRPr="00A70E41">
        <w:rPr>
          <w:rFonts w:ascii="Times New Roman" w:eastAsia="Times New Roman" w:hAnsi="Times New Roman" w:cs="Times New Roman"/>
          <w:i/>
          <w:iCs/>
          <w:sz w:val="24"/>
          <w:szCs w:val="24"/>
        </w:rPr>
        <w:t xml:space="preserve">. Shiga toxin-producing Escherichia coli infection. </w:t>
      </w:r>
      <w:proofErr w:type="spellStart"/>
      <w:r w:rsidRPr="00A70E41">
        <w:rPr>
          <w:rFonts w:ascii="Times New Roman" w:eastAsia="Times New Roman" w:hAnsi="Times New Roman" w:cs="Times New Roman"/>
          <w:i/>
          <w:iCs/>
          <w:sz w:val="24"/>
          <w:szCs w:val="24"/>
        </w:rPr>
        <w:t>Clin</w:t>
      </w:r>
      <w:proofErr w:type="spellEnd"/>
      <w:r w:rsidRPr="00A70E41">
        <w:rPr>
          <w:rFonts w:ascii="Times New Roman" w:eastAsia="Times New Roman" w:hAnsi="Times New Roman" w:cs="Times New Roman"/>
          <w:i/>
          <w:iCs/>
          <w:sz w:val="24"/>
          <w:szCs w:val="24"/>
        </w:rPr>
        <w:t xml:space="preserve"> Infect Dis 2004; 38: 1298–303.</w:t>
      </w:r>
    </w:p>
    <w:p w:rsidR="006A1D6E" w:rsidRPr="00A70E41" w:rsidRDefault="006A1D6E" w:rsidP="006A1D6E">
      <w:pPr>
        <w:rPr>
          <w:rFonts w:ascii="Times New Roman" w:hAnsi="Times New Roman" w:cs="Times New Roman"/>
          <w:sz w:val="24"/>
          <w:szCs w:val="24"/>
        </w:rPr>
      </w:pPr>
      <w:r w:rsidRPr="00A70E41">
        <w:rPr>
          <w:rFonts w:ascii="Times New Roman" w:hAnsi="Times New Roman" w:cs="Times New Roman"/>
          <w:sz w:val="24"/>
          <w:szCs w:val="24"/>
        </w:rPr>
        <w:t xml:space="preserve">2. Bloch S, </w:t>
      </w:r>
      <w:proofErr w:type="spellStart"/>
      <w:r w:rsidRPr="00A70E41">
        <w:rPr>
          <w:rFonts w:ascii="Times New Roman" w:hAnsi="Times New Roman" w:cs="Times New Roman"/>
          <w:sz w:val="24"/>
          <w:szCs w:val="24"/>
        </w:rPr>
        <w:t>Nejman-Faleńczyk</w:t>
      </w:r>
      <w:proofErr w:type="spellEnd"/>
      <w:r w:rsidRPr="00A70E41">
        <w:rPr>
          <w:rFonts w:ascii="Times New Roman" w:hAnsi="Times New Roman" w:cs="Times New Roman"/>
          <w:sz w:val="24"/>
          <w:szCs w:val="24"/>
        </w:rPr>
        <w:t xml:space="preserve"> B, </w:t>
      </w:r>
      <w:proofErr w:type="spellStart"/>
      <w:r w:rsidRPr="00A70E41">
        <w:rPr>
          <w:rFonts w:ascii="Times New Roman" w:hAnsi="Times New Roman" w:cs="Times New Roman"/>
          <w:sz w:val="24"/>
          <w:szCs w:val="24"/>
        </w:rPr>
        <w:t>Dydecka</w:t>
      </w:r>
      <w:proofErr w:type="spellEnd"/>
      <w:r w:rsidRPr="00A70E41">
        <w:rPr>
          <w:rFonts w:ascii="Times New Roman" w:hAnsi="Times New Roman" w:cs="Times New Roman"/>
          <w:sz w:val="24"/>
          <w:szCs w:val="24"/>
        </w:rPr>
        <w:t xml:space="preserve"> A, et al. Different Expression Patterns of Genes from the </w:t>
      </w:r>
      <w:proofErr w:type="spellStart"/>
      <w:r w:rsidRPr="00A70E41">
        <w:rPr>
          <w:rFonts w:ascii="Times New Roman" w:hAnsi="Times New Roman" w:cs="Times New Roman"/>
          <w:i/>
          <w:iCs/>
          <w:sz w:val="24"/>
          <w:szCs w:val="24"/>
        </w:rPr>
        <w:t>Exo-Xis</w:t>
      </w:r>
      <w:proofErr w:type="spellEnd"/>
      <w:r w:rsidRPr="00A70E41">
        <w:rPr>
          <w:rFonts w:ascii="Times New Roman" w:hAnsi="Times New Roman" w:cs="Times New Roman"/>
          <w:sz w:val="24"/>
          <w:szCs w:val="24"/>
        </w:rPr>
        <w:t xml:space="preserve"> Region of Bacteriophage λ and Shiga Toxin-Converting Bacteriophage Ф24</w:t>
      </w:r>
      <w:r w:rsidRPr="00A70E41">
        <w:rPr>
          <w:rFonts w:ascii="Times New Roman" w:hAnsi="Times New Roman" w:cs="Times New Roman"/>
          <w:sz w:val="24"/>
          <w:szCs w:val="24"/>
          <w:vertAlign w:val="subscript"/>
        </w:rPr>
        <w:t>B</w:t>
      </w:r>
      <w:r w:rsidRPr="00A70E41">
        <w:rPr>
          <w:rFonts w:ascii="Times New Roman" w:hAnsi="Times New Roman" w:cs="Times New Roman"/>
          <w:sz w:val="24"/>
          <w:szCs w:val="24"/>
        </w:rPr>
        <w:t xml:space="preserve"> following Infection or </w:t>
      </w:r>
      <w:proofErr w:type="spellStart"/>
      <w:r w:rsidRPr="00A70E41">
        <w:rPr>
          <w:rFonts w:ascii="Times New Roman" w:hAnsi="Times New Roman" w:cs="Times New Roman"/>
          <w:sz w:val="24"/>
          <w:szCs w:val="24"/>
        </w:rPr>
        <w:t>Prophage</w:t>
      </w:r>
      <w:proofErr w:type="spellEnd"/>
      <w:r w:rsidRPr="00A70E41">
        <w:rPr>
          <w:rFonts w:ascii="Times New Roman" w:hAnsi="Times New Roman" w:cs="Times New Roman"/>
          <w:sz w:val="24"/>
          <w:szCs w:val="24"/>
        </w:rPr>
        <w:t xml:space="preserve"> Induction in </w:t>
      </w:r>
      <w:r w:rsidRPr="00A70E41">
        <w:rPr>
          <w:rFonts w:ascii="Times New Roman" w:hAnsi="Times New Roman" w:cs="Times New Roman"/>
          <w:i/>
          <w:iCs/>
          <w:sz w:val="24"/>
          <w:szCs w:val="24"/>
        </w:rPr>
        <w:t>Escherichia coli</w:t>
      </w:r>
      <w:r w:rsidRPr="00A70E41">
        <w:rPr>
          <w:rFonts w:ascii="Times New Roman" w:hAnsi="Times New Roman" w:cs="Times New Roman"/>
          <w:sz w:val="24"/>
          <w:szCs w:val="24"/>
        </w:rPr>
        <w:t xml:space="preserve">. </w:t>
      </w:r>
      <w:proofErr w:type="spellStart"/>
      <w:proofErr w:type="gramStart"/>
      <w:r w:rsidRPr="00A70E41">
        <w:rPr>
          <w:rFonts w:ascii="Times New Roman" w:hAnsi="Times New Roman" w:cs="Times New Roman"/>
          <w:sz w:val="24"/>
          <w:szCs w:val="24"/>
        </w:rPr>
        <w:t>Dąbrowska</w:t>
      </w:r>
      <w:proofErr w:type="spellEnd"/>
      <w:r w:rsidRPr="00A70E41">
        <w:rPr>
          <w:rFonts w:ascii="Times New Roman" w:hAnsi="Times New Roman" w:cs="Times New Roman"/>
          <w:sz w:val="24"/>
          <w:szCs w:val="24"/>
        </w:rPr>
        <w:t xml:space="preserve"> K, ed. </w:t>
      </w:r>
      <w:proofErr w:type="spellStart"/>
      <w:r w:rsidRPr="00A70E41">
        <w:rPr>
          <w:rFonts w:ascii="Times New Roman" w:hAnsi="Times New Roman" w:cs="Times New Roman"/>
          <w:i/>
          <w:iCs/>
          <w:sz w:val="24"/>
          <w:szCs w:val="24"/>
        </w:rPr>
        <w:t>PLoS</w:t>
      </w:r>
      <w:proofErr w:type="spellEnd"/>
      <w:r w:rsidRPr="00A70E41">
        <w:rPr>
          <w:rFonts w:ascii="Times New Roman" w:hAnsi="Times New Roman" w:cs="Times New Roman"/>
          <w:i/>
          <w:iCs/>
          <w:sz w:val="24"/>
          <w:szCs w:val="24"/>
        </w:rPr>
        <w:t xml:space="preserve"> ONE</w:t>
      </w:r>
      <w:r w:rsidRPr="00A70E41">
        <w:rPr>
          <w:rFonts w:ascii="Times New Roman" w:hAnsi="Times New Roman" w:cs="Times New Roman"/>
          <w:sz w:val="24"/>
          <w:szCs w:val="24"/>
        </w:rPr>
        <w:t>.</w:t>
      </w:r>
      <w:proofErr w:type="gramEnd"/>
      <w:r w:rsidRPr="00A70E41">
        <w:rPr>
          <w:rFonts w:ascii="Times New Roman" w:hAnsi="Times New Roman" w:cs="Times New Roman"/>
          <w:sz w:val="24"/>
          <w:szCs w:val="24"/>
        </w:rPr>
        <w:t xml:space="preserve"> 2014</w:t>
      </w:r>
      <w:proofErr w:type="gramStart"/>
      <w:r w:rsidRPr="00A70E41">
        <w:rPr>
          <w:rFonts w:ascii="Times New Roman" w:hAnsi="Times New Roman" w:cs="Times New Roman"/>
          <w:sz w:val="24"/>
          <w:szCs w:val="24"/>
        </w:rPr>
        <w:t>;9</w:t>
      </w:r>
      <w:proofErr w:type="gramEnd"/>
      <w:r w:rsidRPr="00A70E41">
        <w:rPr>
          <w:rFonts w:ascii="Times New Roman" w:hAnsi="Times New Roman" w:cs="Times New Roman"/>
          <w:sz w:val="24"/>
          <w:szCs w:val="24"/>
        </w:rPr>
        <w:t>(10):e108233. doi:10.1371/journal.pone.0108233.</w:t>
      </w:r>
    </w:p>
    <w:p w:rsidR="006A1D6E" w:rsidRPr="00A70E41" w:rsidRDefault="006A1D6E" w:rsidP="006A1D6E">
      <w:pPr>
        <w:rPr>
          <w:rFonts w:ascii="Times New Roman" w:hAnsi="Times New Roman" w:cs="Times New Roman"/>
          <w:sz w:val="24"/>
          <w:szCs w:val="24"/>
        </w:rPr>
      </w:pPr>
      <w:r w:rsidRPr="00A70E41">
        <w:rPr>
          <w:rFonts w:ascii="Times New Roman" w:hAnsi="Times New Roman" w:cs="Times New Roman"/>
          <w:sz w:val="24"/>
          <w:szCs w:val="24"/>
        </w:rPr>
        <w:t xml:space="preserve">3. Mauro SA, </w:t>
      </w:r>
      <w:proofErr w:type="spellStart"/>
      <w:r w:rsidRPr="00A70E41">
        <w:rPr>
          <w:rFonts w:ascii="Times New Roman" w:hAnsi="Times New Roman" w:cs="Times New Roman"/>
          <w:sz w:val="24"/>
          <w:szCs w:val="24"/>
        </w:rPr>
        <w:t>Koudelka</w:t>
      </w:r>
      <w:proofErr w:type="spellEnd"/>
      <w:r w:rsidRPr="00A70E41">
        <w:rPr>
          <w:rFonts w:ascii="Times New Roman" w:hAnsi="Times New Roman" w:cs="Times New Roman"/>
          <w:sz w:val="24"/>
          <w:szCs w:val="24"/>
        </w:rPr>
        <w:t xml:space="preserve"> GB. Shiga Toxin: Expression, Distribution, and Its Role in the Environment. </w:t>
      </w:r>
      <w:proofErr w:type="gramStart"/>
      <w:r w:rsidRPr="00A70E41">
        <w:rPr>
          <w:rFonts w:ascii="Times New Roman" w:hAnsi="Times New Roman" w:cs="Times New Roman"/>
          <w:i/>
          <w:iCs/>
          <w:sz w:val="24"/>
          <w:szCs w:val="24"/>
        </w:rPr>
        <w:t>Toxins</w:t>
      </w:r>
      <w:r w:rsidRPr="00A70E41">
        <w:rPr>
          <w:rFonts w:ascii="Times New Roman" w:hAnsi="Times New Roman" w:cs="Times New Roman"/>
          <w:sz w:val="24"/>
          <w:szCs w:val="24"/>
        </w:rPr>
        <w:t>.</w:t>
      </w:r>
      <w:proofErr w:type="gramEnd"/>
      <w:r w:rsidRPr="00A70E41">
        <w:rPr>
          <w:rFonts w:ascii="Times New Roman" w:hAnsi="Times New Roman" w:cs="Times New Roman"/>
          <w:sz w:val="24"/>
          <w:szCs w:val="24"/>
        </w:rPr>
        <w:t xml:space="preserve"> 2011</w:t>
      </w:r>
      <w:proofErr w:type="gramStart"/>
      <w:r w:rsidRPr="00A70E41">
        <w:rPr>
          <w:rFonts w:ascii="Times New Roman" w:hAnsi="Times New Roman" w:cs="Times New Roman"/>
          <w:sz w:val="24"/>
          <w:szCs w:val="24"/>
        </w:rPr>
        <w:t>;3</w:t>
      </w:r>
      <w:proofErr w:type="gramEnd"/>
      <w:r w:rsidRPr="00A70E41">
        <w:rPr>
          <w:rFonts w:ascii="Times New Roman" w:hAnsi="Times New Roman" w:cs="Times New Roman"/>
          <w:sz w:val="24"/>
          <w:szCs w:val="24"/>
        </w:rPr>
        <w:t xml:space="preserve">(6):608-625. </w:t>
      </w:r>
      <w:proofErr w:type="gramStart"/>
      <w:r w:rsidRPr="00A70E41">
        <w:rPr>
          <w:rFonts w:ascii="Times New Roman" w:hAnsi="Times New Roman" w:cs="Times New Roman"/>
          <w:sz w:val="24"/>
          <w:szCs w:val="24"/>
        </w:rPr>
        <w:t>doi:</w:t>
      </w:r>
      <w:proofErr w:type="gramEnd"/>
      <w:r w:rsidRPr="00A70E41">
        <w:rPr>
          <w:rFonts w:ascii="Times New Roman" w:hAnsi="Times New Roman" w:cs="Times New Roman"/>
          <w:sz w:val="24"/>
          <w:szCs w:val="24"/>
        </w:rPr>
        <w:t>10.3390/toxins3060608.</w:t>
      </w:r>
    </w:p>
    <w:p w:rsidR="006A1D6E" w:rsidRPr="00A70E41" w:rsidRDefault="006A1D6E" w:rsidP="006A1D6E">
      <w:pPr>
        <w:rPr>
          <w:rFonts w:ascii="Times New Roman" w:eastAsia="Times New Roman" w:hAnsi="Times New Roman" w:cs="Times New Roman"/>
          <w:sz w:val="24"/>
          <w:szCs w:val="24"/>
        </w:rPr>
      </w:pPr>
      <w:r w:rsidRPr="00A70E41">
        <w:rPr>
          <w:rFonts w:ascii="Times New Roman" w:hAnsi="Times New Roman" w:cs="Times New Roman"/>
          <w:sz w:val="24"/>
          <w:szCs w:val="24"/>
        </w:rPr>
        <w:lastRenderedPageBreak/>
        <w:t xml:space="preserve">4. </w:t>
      </w:r>
      <w:r w:rsidRPr="00A70E41">
        <w:rPr>
          <w:rFonts w:ascii="Times New Roman" w:eastAsia="Times New Roman" w:hAnsi="Times New Roman" w:cs="Times New Roman"/>
          <w:sz w:val="24"/>
          <w:szCs w:val="24"/>
        </w:rPr>
        <w:t xml:space="preserve">Acheson DW, Moore R, De </w:t>
      </w:r>
      <w:proofErr w:type="spellStart"/>
      <w:r w:rsidRPr="00A70E41">
        <w:rPr>
          <w:rFonts w:ascii="Times New Roman" w:eastAsia="Times New Roman" w:hAnsi="Times New Roman" w:cs="Times New Roman"/>
          <w:sz w:val="24"/>
          <w:szCs w:val="24"/>
        </w:rPr>
        <w:t>Breucker</w:t>
      </w:r>
      <w:proofErr w:type="spellEnd"/>
      <w:r w:rsidRPr="00A70E41">
        <w:rPr>
          <w:rFonts w:ascii="Times New Roman" w:eastAsia="Times New Roman" w:hAnsi="Times New Roman" w:cs="Times New Roman"/>
          <w:sz w:val="24"/>
          <w:szCs w:val="24"/>
        </w:rPr>
        <w:t xml:space="preserve"> S, et al. Translocation of Shiga toxin across polarized intestinal cells in tissue culture. </w:t>
      </w:r>
      <w:proofErr w:type="gramStart"/>
      <w:r w:rsidRPr="00A70E41">
        <w:rPr>
          <w:rFonts w:ascii="Times New Roman" w:eastAsia="Times New Roman" w:hAnsi="Times New Roman" w:cs="Times New Roman"/>
          <w:i/>
          <w:iCs/>
          <w:sz w:val="24"/>
          <w:szCs w:val="24"/>
        </w:rPr>
        <w:t>Infection and Immunity</w:t>
      </w:r>
      <w:r w:rsidRPr="00A70E41">
        <w:rPr>
          <w:rFonts w:ascii="Times New Roman" w:eastAsia="Times New Roman" w:hAnsi="Times New Roman" w:cs="Times New Roman"/>
          <w:sz w:val="24"/>
          <w:szCs w:val="24"/>
        </w:rPr>
        <w:t>.</w:t>
      </w:r>
      <w:proofErr w:type="gramEnd"/>
      <w:r w:rsidRPr="00A70E41">
        <w:rPr>
          <w:rFonts w:ascii="Times New Roman" w:eastAsia="Times New Roman" w:hAnsi="Times New Roman" w:cs="Times New Roman"/>
          <w:sz w:val="24"/>
          <w:szCs w:val="24"/>
        </w:rPr>
        <w:t xml:space="preserve"> 1996</w:t>
      </w:r>
      <w:proofErr w:type="gramStart"/>
      <w:r w:rsidRPr="00A70E41">
        <w:rPr>
          <w:rFonts w:ascii="Times New Roman" w:eastAsia="Times New Roman" w:hAnsi="Times New Roman" w:cs="Times New Roman"/>
          <w:sz w:val="24"/>
          <w:szCs w:val="24"/>
        </w:rPr>
        <w:t>;64</w:t>
      </w:r>
      <w:proofErr w:type="gramEnd"/>
      <w:r w:rsidRPr="00A70E41">
        <w:rPr>
          <w:rFonts w:ascii="Times New Roman" w:eastAsia="Times New Roman" w:hAnsi="Times New Roman" w:cs="Times New Roman"/>
          <w:sz w:val="24"/>
          <w:szCs w:val="24"/>
        </w:rPr>
        <w:t>(8):3294-3300.</w:t>
      </w:r>
    </w:p>
    <w:p w:rsidR="006A1D6E" w:rsidRPr="00A70E41" w:rsidRDefault="006A1D6E" w:rsidP="006A1D6E">
      <w:pPr>
        <w:rPr>
          <w:rStyle w:val="selectable"/>
          <w:rFonts w:ascii="Times New Roman" w:hAnsi="Times New Roman" w:cs="Times New Roman"/>
          <w:sz w:val="24"/>
          <w:szCs w:val="24"/>
        </w:rPr>
      </w:pPr>
      <w:r w:rsidRPr="00A70E41">
        <w:rPr>
          <w:rFonts w:ascii="Times New Roman" w:eastAsia="Times New Roman" w:hAnsi="Times New Roman" w:cs="Times New Roman"/>
          <w:sz w:val="24"/>
          <w:szCs w:val="24"/>
        </w:rPr>
        <w:t xml:space="preserve">5. </w:t>
      </w:r>
      <w:r w:rsidRPr="00A70E41">
        <w:rPr>
          <w:rStyle w:val="selectable"/>
          <w:rFonts w:ascii="Times New Roman" w:hAnsi="Times New Roman" w:cs="Times New Roman"/>
          <w:sz w:val="24"/>
          <w:szCs w:val="24"/>
        </w:rPr>
        <w:t xml:space="preserve">Thorpe, C. (2004). </w:t>
      </w:r>
      <w:proofErr w:type="gramStart"/>
      <w:r w:rsidRPr="00A70E41">
        <w:rPr>
          <w:rStyle w:val="selectable"/>
          <w:rFonts w:ascii="Times New Roman" w:hAnsi="Times New Roman" w:cs="Times New Roman"/>
          <w:sz w:val="24"/>
          <w:szCs w:val="24"/>
        </w:rPr>
        <w:t>Shiga Toxin--Producing Escherichia coli Infection.</w:t>
      </w:r>
      <w:proofErr w:type="gramEnd"/>
      <w:r w:rsidRPr="00A70E41">
        <w:rPr>
          <w:rStyle w:val="selectable"/>
          <w:rFonts w:ascii="Times New Roman" w:hAnsi="Times New Roman" w:cs="Times New Roman"/>
          <w:sz w:val="24"/>
          <w:szCs w:val="24"/>
        </w:rPr>
        <w:t xml:space="preserve"> </w:t>
      </w:r>
      <w:r w:rsidRPr="00A70E41">
        <w:rPr>
          <w:rStyle w:val="selectable"/>
          <w:rFonts w:ascii="Times New Roman" w:hAnsi="Times New Roman" w:cs="Times New Roman"/>
          <w:i/>
          <w:iCs/>
          <w:sz w:val="24"/>
          <w:szCs w:val="24"/>
        </w:rPr>
        <w:t>Clinical Infectious Diseases</w:t>
      </w:r>
      <w:r w:rsidRPr="00A70E41">
        <w:rPr>
          <w:rStyle w:val="selectable"/>
          <w:rFonts w:ascii="Times New Roman" w:hAnsi="Times New Roman" w:cs="Times New Roman"/>
          <w:sz w:val="24"/>
          <w:szCs w:val="24"/>
        </w:rPr>
        <w:t xml:space="preserve">, </w:t>
      </w:r>
      <w:r w:rsidRPr="00A70E41">
        <w:rPr>
          <w:rStyle w:val="selectable"/>
          <w:rFonts w:ascii="Times New Roman" w:hAnsi="Times New Roman" w:cs="Times New Roman"/>
          <w:i/>
          <w:iCs/>
          <w:sz w:val="24"/>
          <w:szCs w:val="24"/>
        </w:rPr>
        <w:t>38</w:t>
      </w:r>
      <w:r w:rsidRPr="00A70E41">
        <w:rPr>
          <w:rStyle w:val="selectable"/>
          <w:rFonts w:ascii="Times New Roman" w:hAnsi="Times New Roman" w:cs="Times New Roman"/>
          <w:sz w:val="24"/>
          <w:szCs w:val="24"/>
        </w:rPr>
        <w:t>(9), 1298-1303. http://dx.doi.org/10.1086/383473</w:t>
      </w:r>
    </w:p>
    <w:p w:rsidR="006A1D6E" w:rsidRPr="00A70E41" w:rsidRDefault="006A1D6E" w:rsidP="006A1D6E">
      <w:pPr>
        <w:rPr>
          <w:rFonts w:ascii="Times New Roman" w:eastAsia="Times New Roman" w:hAnsi="Times New Roman" w:cs="Times New Roman"/>
          <w:sz w:val="24"/>
          <w:szCs w:val="24"/>
        </w:rPr>
      </w:pPr>
      <w:r w:rsidRPr="00A70E41">
        <w:rPr>
          <w:rFonts w:ascii="Times New Roman" w:eastAsia="Times New Roman" w:hAnsi="Times New Roman" w:cs="Times New Roman"/>
          <w:sz w:val="24"/>
          <w:szCs w:val="24"/>
        </w:rPr>
        <w:t xml:space="preserve">6. </w:t>
      </w:r>
      <w:r w:rsidRPr="00A70E41">
        <w:rPr>
          <w:rStyle w:val="selectable"/>
          <w:rFonts w:ascii="Times New Roman" w:hAnsi="Times New Roman" w:cs="Times New Roman"/>
          <w:sz w:val="24"/>
          <w:szCs w:val="24"/>
        </w:rPr>
        <w:t>Pre-harvest Management Controls and Intervention Options for Reducing Shiga Toxin-Producing Escherichia coli Shedding in Cattle: An Overview of Current Research,. (2016).</w:t>
      </w:r>
    </w:p>
    <w:p w:rsidR="006A1D6E" w:rsidRPr="00A70E41" w:rsidRDefault="006A1D6E" w:rsidP="006A1D6E">
      <w:pPr>
        <w:pStyle w:val="NormalWeb"/>
      </w:pPr>
      <w:r w:rsidRPr="00A70E41">
        <w:t xml:space="preserve">7. </w:t>
      </w:r>
      <w:proofErr w:type="spellStart"/>
      <w:r w:rsidRPr="00A70E41">
        <w:t>Grif</w:t>
      </w:r>
      <w:proofErr w:type="spellEnd"/>
      <w:r w:rsidRPr="00A70E41">
        <w:t xml:space="preserve"> K., M. P. </w:t>
      </w:r>
      <w:proofErr w:type="spellStart"/>
      <w:r w:rsidRPr="00A70E41">
        <w:t>Dierich</w:t>
      </w:r>
      <w:proofErr w:type="spellEnd"/>
      <w:r w:rsidRPr="00A70E41">
        <w:t>, H. </w:t>
      </w:r>
      <w:proofErr w:type="spellStart"/>
      <w:r w:rsidRPr="00A70E41">
        <w:t>Karch</w:t>
      </w:r>
      <w:proofErr w:type="spellEnd"/>
      <w:r w:rsidRPr="00A70E41">
        <w:t>, F. </w:t>
      </w:r>
      <w:proofErr w:type="spellStart"/>
      <w:r w:rsidRPr="00A70E41">
        <w:t>Allerberger</w:t>
      </w:r>
      <w:proofErr w:type="spellEnd"/>
      <w:r w:rsidRPr="00A70E41">
        <w:t xml:space="preserve">. </w:t>
      </w:r>
      <w:r w:rsidRPr="00A70E41">
        <w:rPr>
          <w:i/>
          <w:lang w:val="en"/>
        </w:rPr>
        <w:t xml:space="preserve">Strain-Specific Differences in the Amount of Shiga Toxin Released from </w:t>
      </w:r>
      <w:proofErr w:type="spellStart"/>
      <w:r w:rsidRPr="00A70E41">
        <w:rPr>
          <w:i/>
          <w:lang w:val="en"/>
        </w:rPr>
        <w:t>Enterohemorrhagic</w:t>
      </w:r>
      <w:proofErr w:type="spellEnd"/>
      <w:r w:rsidRPr="00A70E41">
        <w:rPr>
          <w:i/>
          <w:lang w:val="en"/>
        </w:rPr>
        <w:t xml:space="preserve"> </w:t>
      </w:r>
      <w:r w:rsidRPr="00A70E41">
        <w:rPr>
          <w:i/>
          <w:iCs/>
          <w:lang w:val="en"/>
        </w:rPr>
        <w:t>Escherichia coli</w:t>
      </w:r>
      <w:r w:rsidRPr="00A70E41">
        <w:rPr>
          <w:i/>
          <w:lang w:val="en"/>
        </w:rPr>
        <w:t xml:space="preserve"> O157 following Exposure to </w:t>
      </w:r>
      <w:proofErr w:type="spellStart"/>
      <w:r w:rsidRPr="00A70E41">
        <w:rPr>
          <w:i/>
          <w:lang w:val="en"/>
        </w:rPr>
        <w:t>Subinhibitory</w:t>
      </w:r>
      <w:proofErr w:type="spellEnd"/>
      <w:r w:rsidRPr="00A70E41">
        <w:rPr>
          <w:i/>
          <w:lang w:val="en"/>
        </w:rPr>
        <w:t xml:space="preserve"> Concentrations of Antimicrobial Agents.</w:t>
      </w:r>
      <w:r w:rsidRPr="00A70E41">
        <w:rPr>
          <w:lang w:val="en"/>
        </w:rPr>
        <w:t xml:space="preserve"> </w:t>
      </w:r>
      <w:hyperlink r:id="rId5" w:history="1">
        <w:proofErr w:type="gramStart"/>
        <w:r w:rsidRPr="00A70E41">
          <w:rPr>
            <w:rStyle w:val="journaltitle"/>
          </w:rPr>
          <w:t>European Journal of Clinical Microbiology and Infectious Diseases</w:t>
        </w:r>
      </w:hyperlink>
      <w:r w:rsidRPr="00A70E41">
        <w:t>.</w:t>
      </w:r>
      <w:proofErr w:type="gramEnd"/>
      <w:r w:rsidRPr="00A70E41">
        <w:t xml:space="preserve"> </w:t>
      </w:r>
      <w:r w:rsidRPr="00A70E41">
        <w:rPr>
          <w:rStyle w:val="articlecitationyear"/>
        </w:rPr>
        <w:t xml:space="preserve">December 1998, </w:t>
      </w:r>
      <w:r w:rsidRPr="00A70E41">
        <w:rPr>
          <w:rStyle w:val="articlecitationvolume"/>
        </w:rPr>
        <w:t>Volume 17,</w:t>
      </w:r>
      <w:hyperlink r:id="rId6" w:history="1">
        <w:r w:rsidRPr="00A70E41">
          <w:rPr>
            <w:rStyle w:val="Hyperlink"/>
            <w:color w:val="auto"/>
            <w:u w:val="none"/>
          </w:rPr>
          <w:t> Issue 11,</w:t>
        </w:r>
      </w:hyperlink>
      <w:r w:rsidRPr="00A70E41">
        <w:rPr>
          <w:rStyle w:val="articlecitationpages"/>
        </w:rPr>
        <w:t xml:space="preserve"> </w:t>
      </w:r>
      <w:proofErr w:type="spellStart"/>
      <w:r w:rsidRPr="00A70E41">
        <w:rPr>
          <w:rStyle w:val="articlecitationpages"/>
        </w:rPr>
        <w:t>pp</w:t>
      </w:r>
      <w:proofErr w:type="spellEnd"/>
      <w:r w:rsidRPr="00A70E41">
        <w:rPr>
          <w:rStyle w:val="articlecitationpages"/>
        </w:rPr>
        <w:t xml:space="preserve"> 761-766</w:t>
      </w:r>
    </w:p>
    <w:p w:rsidR="00445C8F" w:rsidRPr="007724F8" w:rsidRDefault="00445C8F" w:rsidP="00445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Pr="007724F8">
        <w:rPr>
          <w:rFonts w:ascii="Times New Roman" w:eastAsia="Times New Roman" w:hAnsi="Times New Roman" w:cs="Times New Roman"/>
          <w:sz w:val="24"/>
          <w:szCs w:val="24"/>
        </w:rPr>
        <w:t>Cronan</w:t>
      </w:r>
      <w:proofErr w:type="spellEnd"/>
      <w:r w:rsidRPr="007724F8">
        <w:rPr>
          <w:rFonts w:ascii="Times New Roman" w:eastAsia="Times New Roman" w:hAnsi="Times New Roman" w:cs="Times New Roman"/>
          <w:sz w:val="24"/>
          <w:szCs w:val="24"/>
        </w:rPr>
        <w:t xml:space="preserve"> JE. </w:t>
      </w:r>
      <w:proofErr w:type="spellStart"/>
      <w:proofErr w:type="gramStart"/>
      <w:r w:rsidRPr="007724F8">
        <w:rPr>
          <w:rFonts w:ascii="Times New Roman" w:eastAsia="Times New Roman" w:hAnsi="Times New Roman" w:cs="Times New Roman"/>
          <w:sz w:val="24"/>
          <w:szCs w:val="24"/>
        </w:rPr>
        <w:t>Cosmid</w:t>
      </w:r>
      <w:proofErr w:type="spellEnd"/>
      <w:r w:rsidRPr="007724F8">
        <w:rPr>
          <w:rFonts w:ascii="Times New Roman" w:eastAsia="Times New Roman" w:hAnsi="Times New Roman" w:cs="Times New Roman"/>
          <w:sz w:val="24"/>
          <w:szCs w:val="24"/>
        </w:rPr>
        <w:t xml:space="preserve">-Based System for Transient Expression and Absolute Off-to-On Transcriptional Control of </w:t>
      </w:r>
      <w:r w:rsidRPr="007724F8">
        <w:rPr>
          <w:rFonts w:ascii="Times New Roman" w:eastAsia="Times New Roman" w:hAnsi="Times New Roman" w:cs="Times New Roman"/>
          <w:i/>
          <w:iCs/>
          <w:sz w:val="24"/>
          <w:szCs w:val="24"/>
        </w:rPr>
        <w:t>Escherichia coli</w:t>
      </w:r>
      <w:r w:rsidRPr="007724F8">
        <w:rPr>
          <w:rFonts w:ascii="Times New Roman" w:eastAsia="Times New Roman" w:hAnsi="Times New Roman" w:cs="Times New Roman"/>
          <w:sz w:val="24"/>
          <w:szCs w:val="24"/>
        </w:rPr>
        <w:t xml:space="preserve"> Genes.</w:t>
      </w:r>
      <w:proofErr w:type="gramEnd"/>
      <w:r w:rsidRPr="007724F8">
        <w:rPr>
          <w:rFonts w:ascii="Times New Roman" w:eastAsia="Times New Roman" w:hAnsi="Times New Roman" w:cs="Times New Roman"/>
          <w:sz w:val="24"/>
          <w:szCs w:val="24"/>
        </w:rPr>
        <w:t xml:space="preserve"> </w:t>
      </w:r>
      <w:proofErr w:type="gramStart"/>
      <w:r w:rsidRPr="007724F8">
        <w:rPr>
          <w:rFonts w:ascii="Times New Roman" w:eastAsia="Times New Roman" w:hAnsi="Times New Roman" w:cs="Times New Roman"/>
          <w:i/>
          <w:iCs/>
          <w:sz w:val="24"/>
          <w:szCs w:val="24"/>
        </w:rPr>
        <w:t>Journal of Bacteriology</w:t>
      </w:r>
      <w:r w:rsidRPr="007724F8">
        <w:rPr>
          <w:rFonts w:ascii="Times New Roman" w:eastAsia="Times New Roman" w:hAnsi="Times New Roman" w:cs="Times New Roman"/>
          <w:sz w:val="24"/>
          <w:szCs w:val="24"/>
        </w:rPr>
        <w:t>.</w:t>
      </w:r>
      <w:proofErr w:type="gramEnd"/>
      <w:r w:rsidRPr="007724F8">
        <w:rPr>
          <w:rFonts w:ascii="Times New Roman" w:eastAsia="Times New Roman" w:hAnsi="Times New Roman" w:cs="Times New Roman"/>
          <w:sz w:val="24"/>
          <w:szCs w:val="24"/>
        </w:rPr>
        <w:t xml:space="preserve"> 2003</w:t>
      </w:r>
      <w:proofErr w:type="gramStart"/>
      <w:r w:rsidRPr="007724F8">
        <w:rPr>
          <w:rFonts w:ascii="Times New Roman" w:eastAsia="Times New Roman" w:hAnsi="Times New Roman" w:cs="Times New Roman"/>
          <w:sz w:val="24"/>
          <w:szCs w:val="24"/>
        </w:rPr>
        <w:t>;185</w:t>
      </w:r>
      <w:proofErr w:type="gramEnd"/>
      <w:r w:rsidRPr="007724F8">
        <w:rPr>
          <w:rFonts w:ascii="Times New Roman" w:eastAsia="Times New Roman" w:hAnsi="Times New Roman" w:cs="Times New Roman"/>
          <w:sz w:val="24"/>
          <w:szCs w:val="24"/>
        </w:rPr>
        <w:t>(22):6522-6529. doi:10.1128/JB.185.22.6522-6529.2003.</w:t>
      </w:r>
    </w:p>
    <w:p w:rsidR="000B107E" w:rsidRDefault="000B107E" w:rsidP="000B107E">
      <w:pPr>
        <w:pStyle w:val="Default"/>
        <w:rPr>
          <w:iCs/>
          <w:szCs w:val="23"/>
        </w:rPr>
      </w:pPr>
      <w:bookmarkStart w:id="0" w:name="_GoBack"/>
      <w:bookmarkEnd w:id="0"/>
    </w:p>
    <w:sectPr w:rsidR="000B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7E"/>
    <w:rsid w:val="000B107E"/>
    <w:rsid w:val="00445C8F"/>
    <w:rsid w:val="006A1D6E"/>
    <w:rsid w:val="00AB0960"/>
    <w:rsid w:val="00C41F5B"/>
    <w:rsid w:val="00CB7017"/>
    <w:rsid w:val="00E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6A1D6E"/>
  </w:style>
  <w:style w:type="character" w:styleId="Hyperlink">
    <w:name w:val="Hyperlink"/>
    <w:basedOn w:val="DefaultParagraphFont"/>
    <w:uiPriority w:val="99"/>
    <w:unhideWhenUsed/>
    <w:rsid w:val="006A1D6E"/>
    <w:rPr>
      <w:color w:val="0000FF" w:themeColor="hyperlink"/>
      <w:u w:val="single"/>
    </w:rPr>
  </w:style>
  <w:style w:type="paragraph" w:styleId="NormalWeb">
    <w:name w:val="Normal (Web)"/>
    <w:basedOn w:val="Normal"/>
    <w:uiPriority w:val="99"/>
    <w:unhideWhenUsed/>
    <w:rsid w:val="006A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6A1D6E"/>
  </w:style>
  <w:style w:type="character" w:customStyle="1" w:styleId="articlecitationyear">
    <w:name w:val="articlecitation_year"/>
    <w:basedOn w:val="DefaultParagraphFont"/>
    <w:rsid w:val="006A1D6E"/>
  </w:style>
  <w:style w:type="character" w:customStyle="1" w:styleId="articlecitationvolume">
    <w:name w:val="articlecitation_volume"/>
    <w:basedOn w:val="DefaultParagraphFont"/>
    <w:rsid w:val="006A1D6E"/>
  </w:style>
  <w:style w:type="character" w:customStyle="1" w:styleId="articlecitationpages">
    <w:name w:val="articlecitation_pages"/>
    <w:basedOn w:val="DefaultParagraphFont"/>
    <w:rsid w:val="006A1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6A1D6E"/>
  </w:style>
  <w:style w:type="character" w:styleId="Hyperlink">
    <w:name w:val="Hyperlink"/>
    <w:basedOn w:val="DefaultParagraphFont"/>
    <w:uiPriority w:val="99"/>
    <w:unhideWhenUsed/>
    <w:rsid w:val="006A1D6E"/>
    <w:rPr>
      <w:color w:val="0000FF" w:themeColor="hyperlink"/>
      <w:u w:val="single"/>
    </w:rPr>
  </w:style>
  <w:style w:type="paragraph" w:styleId="NormalWeb">
    <w:name w:val="Normal (Web)"/>
    <w:basedOn w:val="Normal"/>
    <w:uiPriority w:val="99"/>
    <w:unhideWhenUsed/>
    <w:rsid w:val="006A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6A1D6E"/>
  </w:style>
  <w:style w:type="character" w:customStyle="1" w:styleId="articlecitationyear">
    <w:name w:val="articlecitation_year"/>
    <w:basedOn w:val="DefaultParagraphFont"/>
    <w:rsid w:val="006A1D6E"/>
  </w:style>
  <w:style w:type="character" w:customStyle="1" w:styleId="articlecitationvolume">
    <w:name w:val="articlecitation_volume"/>
    <w:basedOn w:val="DefaultParagraphFont"/>
    <w:rsid w:val="006A1D6E"/>
  </w:style>
  <w:style w:type="character" w:customStyle="1" w:styleId="articlecitationpages">
    <w:name w:val="articlecitation_pages"/>
    <w:basedOn w:val="DefaultParagraphFont"/>
    <w:rsid w:val="006A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springer.com/journal/10096/17/11/page/1" TargetMode="External"/><Relationship Id="rId5" Type="http://schemas.openxmlformats.org/officeDocument/2006/relationships/hyperlink" Target="http://link.springer.com/journal/100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2016-05-01T07:17:00Z</dcterms:created>
  <dcterms:modified xsi:type="dcterms:W3CDTF">2016-05-01T08:02:00Z</dcterms:modified>
</cp:coreProperties>
</file>