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288" w:lineRule="auto"/>
        <w:jc w:val="center"/>
        <w:rPr>
          <w:rFonts w:ascii="Helvetica Neue" w:cs="Helvetica Neue" w:hAnsi="Helvetica Neue" w:eastAsia="Helvetica Neue"/>
          <w:b w:val="1"/>
          <w:bCs w:val="1"/>
          <w:sz w:val="24"/>
          <w:szCs w:val="24"/>
        </w:rPr>
      </w:pPr>
      <w:r>
        <w:rPr>
          <w:rFonts w:ascii="Helvetica Neue"/>
          <w:b w:val="1"/>
          <w:bCs w:val="1"/>
          <w:sz w:val="24"/>
          <w:szCs w:val="24"/>
          <w:rtl w:val="0"/>
          <w:lang w:val="en-US"/>
        </w:rPr>
        <w:t xml:space="preserve">Chemical properties that affect binding of </w:t>
      </w:r>
    </w:p>
    <w:p>
      <w:pPr>
        <w:pStyle w:val="Body"/>
        <w:spacing w:line="288" w:lineRule="auto"/>
        <w:jc w:val="center"/>
        <w:rPr>
          <w:rFonts w:ascii="Helvetica Neue" w:cs="Helvetica Neue" w:hAnsi="Helvetica Neue" w:eastAsia="Helvetica Neue"/>
          <w:b w:val="1"/>
          <w:bCs w:val="1"/>
          <w:sz w:val="24"/>
          <w:szCs w:val="24"/>
        </w:rPr>
      </w:pPr>
      <w:r>
        <w:rPr>
          <w:rFonts w:ascii="Helvetica Neue"/>
          <w:b w:val="1"/>
          <w:bCs w:val="1"/>
          <w:sz w:val="24"/>
          <w:szCs w:val="24"/>
          <w:rtl w:val="0"/>
          <w:lang w:val="en-US"/>
        </w:rPr>
        <w:t>enzyme-inhibiting drugs to enzymes</w:t>
      </w:r>
    </w:p>
    <w:p>
      <w:pPr>
        <w:pStyle w:val="Body"/>
        <w:spacing w:line="288" w:lineRule="auto"/>
        <w:rPr>
          <w:rFonts w:ascii="Helvetica Neue" w:cs="Helvetica Neue" w:hAnsi="Helvetica Neue" w:eastAsia="Helvetica Neue"/>
        </w:rPr>
      </w:pPr>
    </w:p>
    <w:p>
      <w:pPr>
        <w:pStyle w:val="Body"/>
        <w:spacing w:line="288" w:lineRule="auto"/>
        <w:rPr>
          <w:rFonts w:ascii="Helvetica Neue Medium" w:cs="Helvetica Neue Medium" w:hAnsi="Helvetica Neue Medium" w:eastAsia="Helvetica Neue Medium"/>
          <w:u w:val="single"/>
        </w:rPr>
      </w:pPr>
      <w:r>
        <w:rPr>
          <w:rFonts w:ascii="Helvetica Neue Medium"/>
          <w:u w:val="single"/>
          <w:rtl w:val="0"/>
          <w:lang w:val="fr-FR"/>
        </w:rPr>
        <w:t>Introduction</w:t>
      </w:r>
    </w:p>
    <w:p>
      <w:pPr>
        <w:pStyle w:val="Body"/>
        <w:spacing w:line="96" w:lineRule="auto"/>
        <w:rPr>
          <w:rFonts w:ascii="Helvetica Neue Medium" w:cs="Helvetica Neue Medium" w:hAnsi="Helvetica Neue Medium" w:eastAsia="Helvetica Neue Medium"/>
          <w:u w:val="single"/>
        </w:rPr>
      </w:pPr>
    </w:p>
    <w:p>
      <w:pPr>
        <w:pStyle w:val="Body"/>
        <w:spacing w:line="288" w:lineRule="auto"/>
        <w:rPr>
          <w:rFonts w:ascii="Helvetica Neue" w:cs="Helvetica Neue" w:hAnsi="Helvetica Neue" w:eastAsia="Helvetica Neue"/>
        </w:rPr>
      </w:pPr>
      <w:r>
        <w:rPr>
          <w:rFonts w:ascii="Helvetica Neue"/>
          <w:rtl w:val="0"/>
          <w:lang w:val="en-US"/>
        </w:rPr>
        <w:t xml:space="preserve">The </w:t>
      </w:r>
      <w:r>
        <w:rPr>
          <w:rFonts w:ascii="Helvetica Neue"/>
          <w:rtl w:val="0"/>
          <w:lang w:val="en-US"/>
        </w:rPr>
        <w:t>production</w:t>
      </w:r>
      <w:r>
        <w:rPr>
          <w:rFonts w:ascii="Helvetica Neue"/>
          <w:rtl w:val="0"/>
          <w:lang w:val="en-US"/>
        </w:rPr>
        <w:t xml:space="preserve"> of new drugs requires time for development and testing, and can result in large prohibitive costs if done in vitro. Advances in computer technology allow for the computational testing and development of drugs before any wet-lab experiments are conducted, thus saving time and money. Programs for simulating how proteins bind to each other have been developed, and can be categorized as predicting either the 3D shape complementarity of proteins (1), or predicting whether proteins likely to bind based on chemical properties (2). These simulations prove to be more efficient in the drug-development-pipeline, but generally require some initial user input in order to begin working (such as maximum </w:t>
      </w:r>
      <w:r>
        <w:rPr>
          <w:rFonts w:ascii="Helvetica Neue"/>
          <w:rtl w:val="0"/>
          <w:lang w:val="en-US"/>
        </w:rPr>
        <w:t>distance between atoms</w:t>
      </w:r>
      <w:r>
        <w:rPr>
          <w:rFonts w:ascii="Helvetica Neue"/>
          <w:rtl w:val="0"/>
          <w:lang w:val="en-US"/>
        </w:rPr>
        <w:t xml:space="preserve">) (3), thus making them inaccurate for predicting all possible protein types. Accuracy can be improved by developing reference databases from which developers can compare successful binding techniques, or by experimentally determining a set of models that allow simulation programs to predict protein-protein (or protein-ligand) affinity based on the specific type of molecule being assessed (4). </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Molecular complex prediction models are developed by assessing the chemical properties of the molecules</w:t>
      </w:r>
      <w:r>
        <w:rPr>
          <w:rFonts w:hAnsi="Helvetica Neue" w:hint="default"/>
          <w:rtl w:val="0"/>
          <w:lang w:val="en-US"/>
        </w:rPr>
        <w:t>’</w:t>
      </w:r>
      <w:r>
        <w:rPr>
          <w:rFonts w:ascii="Helvetica Neue"/>
          <w:rtl w:val="0"/>
          <w:lang w:val="en-US"/>
        </w:rPr>
        <w:t xml:space="preserve"> atomic compositions. Differing atomic compositions mean some binding patterns rely more on hydrophobicity, while others depend more on acid/base electrostatics (</w:t>
      </w:r>
      <w:r>
        <w:rPr>
          <w:rFonts w:ascii="Helvetica Neue"/>
          <w:rtl w:val="0"/>
          <w:lang w:val="en-US"/>
        </w:rPr>
        <w:t>5</w:t>
      </w:r>
      <w:r>
        <w:rPr>
          <w:rFonts w:ascii="Helvetica Neue"/>
          <w:rtl w:val="0"/>
          <w:lang w:val="en-US"/>
        </w:rPr>
        <w:t>). These chemical properties include solvent accessible surface area, hydrophobicity, electrostatics, van der waals forces, residue pair potential, desolvation energies, atomic contact energies, complementary determining regions, etc... (4) (</w:t>
      </w:r>
      <w:r>
        <w:rPr>
          <w:rFonts w:ascii="Helvetica Neue"/>
          <w:rtl w:val="0"/>
          <w:lang w:val="en-US"/>
        </w:rPr>
        <w:t>6</w:t>
      </w:r>
      <w:r>
        <w:rPr>
          <w:rFonts w:ascii="Helvetica Neue"/>
          <w:rtl w:val="0"/>
          <w:lang w:val="en-US"/>
        </w:rPr>
        <w:t>). These properties can be tested mathematically by evaluating atom type, atomic distances, and neighboring atoms, thus they can be placed in an equation that produces an overall positive or negative score (called an affinity score), indicating whether the two atoms will have a favorable or unfavorable</w:t>
      </w:r>
      <w:r>
        <w:rPr>
          <w:rFonts w:ascii="Helvetica Neue" w:cs="Helvetica Neue" w:hAnsi="Helvetica Neue" w:eastAsia="Helvetica Neue"/>
        </w:rPr>
        <mc:AlternateContent>
          <mc:Choice Requires="wps">
            <w:drawing>
              <wp:anchor distT="152400" distB="152400" distL="152400" distR="152400" simplePos="0" relativeHeight="251665408" behindDoc="0" locked="0" layoutInCell="1" allowOverlap="1">
                <wp:simplePos x="0" y="0"/>
                <wp:positionH relativeFrom="margin">
                  <wp:posOffset>3577958</wp:posOffset>
                </wp:positionH>
                <wp:positionV relativeFrom="line">
                  <wp:posOffset>158519</wp:posOffset>
                </wp:positionV>
                <wp:extent cx="2206346" cy="1710570"/>
                <wp:effectExtent l="0" t="0" r="0" b="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2206346" cy="1710570"/>
                        </a:xfrm>
                        <a:prstGeom prst="rect">
                          <a:avLst/>
                        </a:prstGeom>
                        <a:noFill/>
                        <a:ln w="12700" cap="flat">
                          <a:noFill/>
                          <a:miter lim="400000"/>
                        </a:ln>
                        <a:effectLst/>
                      </wps:spPr>
                      <wps:txbx>
                        <w:txbxContent>
                          <w:p>
                            <w:pPr>
                              <w:pStyle w:val="Body"/>
                              <w:jc w:val="center"/>
                              <w:rPr>
                                <w:rFonts w:ascii="Georgia" w:cs="Georgia" w:hAnsi="Georgia" w:eastAsia="Georgia"/>
                                <w:i w:val="1"/>
                                <w:iCs w:val="1"/>
                                <w:sz w:val="26"/>
                                <w:szCs w:val="26"/>
                              </w:rPr>
                            </w:pPr>
                            <w:r>
                              <w:rPr>
                                <w:rFonts w:ascii="Georgia"/>
                                <w:i w:val="1"/>
                                <w:iCs w:val="1"/>
                                <w:sz w:val="26"/>
                                <w:szCs w:val="26"/>
                                <w:rtl w:val="0"/>
                              </w:rPr>
                              <w:t>b</w:t>
                            </w:r>
                            <w:r>
                              <w:rPr>
                                <w:rFonts w:ascii="Georgia"/>
                                <w:i w:val="1"/>
                                <w:iCs w:val="1"/>
                                <w:sz w:val="26"/>
                                <w:szCs w:val="26"/>
                                <w:vertAlign w:val="subscript"/>
                                <w:rtl w:val="0"/>
                              </w:rPr>
                              <w:t>ij</w:t>
                            </w:r>
                            <w:r>
                              <w:rPr>
                                <w:rFonts w:ascii="Georgia"/>
                                <w:i w:val="1"/>
                                <w:iCs w:val="1"/>
                                <w:sz w:val="26"/>
                                <w:szCs w:val="26"/>
                                <w:rtl w:val="0"/>
                              </w:rPr>
                              <w:t xml:space="preserve"> = a</w:t>
                            </w:r>
                            <w:r>
                              <w:rPr>
                                <w:rFonts w:ascii="Georgia"/>
                                <w:i w:val="1"/>
                                <w:iCs w:val="1"/>
                                <w:sz w:val="26"/>
                                <w:szCs w:val="26"/>
                                <w:vertAlign w:val="subscript"/>
                                <w:rtl w:val="0"/>
                              </w:rPr>
                              <w:t>i</w:t>
                            </w:r>
                            <w:r>
                              <w:rPr>
                                <w:rFonts w:ascii="Georgia"/>
                                <w:i w:val="1"/>
                                <w:iCs w:val="1"/>
                                <w:sz w:val="26"/>
                                <w:szCs w:val="26"/>
                                <w:rtl w:val="0"/>
                              </w:rPr>
                              <w:t xml:space="preserve"> a</w:t>
                            </w:r>
                            <w:r>
                              <w:rPr>
                                <w:rFonts w:ascii="Georgia"/>
                                <w:i w:val="1"/>
                                <w:iCs w:val="1"/>
                                <w:sz w:val="26"/>
                                <w:szCs w:val="26"/>
                                <w:vertAlign w:val="subscript"/>
                                <w:rtl w:val="0"/>
                              </w:rPr>
                              <w:t xml:space="preserve">j </w:t>
                            </w:r>
                            <w:r>
                              <w:rPr>
                                <w:rFonts w:ascii="Georgia"/>
                                <w:i w:val="1"/>
                                <w:iCs w:val="1"/>
                                <w:sz w:val="26"/>
                                <w:szCs w:val="26"/>
                                <w:rtl w:val="0"/>
                              </w:rPr>
                              <w:t>S</w:t>
                            </w:r>
                            <w:r>
                              <w:rPr>
                                <w:rFonts w:ascii="Georgia"/>
                                <w:i w:val="1"/>
                                <w:iCs w:val="1"/>
                                <w:sz w:val="26"/>
                                <w:szCs w:val="26"/>
                                <w:vertAlign w:val="subscript"/>
                                <w:rtl w:val="0"/>
                              </w:rPr>
                              <w:t>i</w:t>
                            </w:r>
                            <w:r>
                              <w:rPr>
                                <w:rFonts w:ascii="Georgia"/>
                                <w:i w:val="1"/>
                                <w:iCs w:val="1"/>
                                <w:sz w:val="26"/>
                                <w:szCs w:val="26"/>
                                <w:vertAlign w:val="subscript"/>
                                <w:rtl w:val="0"/>
                                <w:lang w:val="en-US"/>
                              </w:rPr>
                              <w:t xml:space="preserve"> </w:t>
                            </w:r>
                            <w:r>
                              <w:rPr>
                                <w:rFonts w:ascii="Georgia"/>
                                <w:i w:val="1"/>
                                <w:iCs w:val="1"/>
                                <w:sz w:val="26"/>
                                <w:szCs w:val="26"/>
                                <w:rtl w:val="0"/>
                              </w:rPr>
                              <w:t>S</w:t>
                            </w:r>
                            <w:r>
                              <w:rPr>
                                <w:rFonts w:ascii="Georgia"/>
                                <w:i w:val="1"/>
                                <w:iCs w:val="1"/>
                                <w:sz w:val="26"/>
                                <w:szCs w:val="26"/>
                                <w:vertAlign w:val="subscript"/>
                                <w:rtl w:val="0"/>
                              </w:rPr>
                              <w:t>j</w:t>
                            </w:r>
                            <w:r>
                              <w:rPr>
                                <w:rFonts w:ascii="Georgia"/>
                                <w:i w:val="1"/>
                                <w:iCs w:val="1"/>
                                <w:sz w:val="26"/>
                                <w:szCs w:val="26"/>
                                <w:rtl w:val="0"/>
                              </w:rPr>
                              <w:t xml:space="preserve"> T</w:t>
                            </w:r>
                            <w:r>
                              <w:rPr>
                                <w:rFonts w:ascii="Georgia"/>
                                <w:i w:val="1"/>
                                <w:iCs w:val="1"/>
                                <w:sz w:val="26"/>
                                <w:szCs w:val="26"/>
                                <w:vertAlign w:val="subscript"/>
                                <w:rtl w:val="0"/>
                              </w:rPr>
                              <w:t>ij</w:t>
                            </w:r>
                            <w:r>
                              <w:rPr>
                                <w:rFonts w:ascii="Georgia"/>
                                <w:i w:val="1"/>
                                <w:iCs w:val="1"/>
                                <w:sz w:val="26"/>
                                <w:szCs w:val="26"/>
                                <w:rtl w:val="0"/>
                              </w:rPr>
                              <w:t xml:space="preserve"> R</w:t>
                            </w:r>
                            <w:r>
                              <w:rPr>
                                <w:rFonts w:ascii="Georgia"/>
                                <w:i w:val="1"/>
                                <w:iCs w:val="1"/>
                                <w:sz w:val="26"/>
                                <w:szCs w:val="26"/>
                                <w:vertAlign w:val="subscript"/>
                                <w:rtl w:val="0"/>
                              </w:rPr>
                              <w:t>ij</w:t>
                            </w:r>
                            <w:r>
                              <w:rPr>
                                <w:rFonts w:ascii="Georgia"/>
                                <w:i w:val="1"/>
                                <w:iCs w:val="1"/>
                                <w:sz w:val="26"/>
                                <w:szCs w:val="26"/>
                                <w:rtl w:val="0"/>
                                <w:lang w:val="de-DE"/>
                              </w:rPr>
                              <w:t xml:space="preserve"> + r</w:t>
                            </w:r>
                            <w:r>
                              <w:rPr>
                                <w:rFonts w:ascii="Georgia"/>
                                <w:i w:val="1"/>
                                <w:iCs w:val="1"/>
                                <w:sz w:val="26"/>
                                <w:szCs w:val="26"/>
                                <w:vertAlign w:val="subscript"/>
                                <w:rtl w:val="0"/>
                              </w:rPr>
                              <w:t>ij</w:t>
                            </w:r>
                          </w:p>
                          <w:p>
                            <w:pPr>
                              <w:pStyle w:val="Body"/>
                              <w:bidi w:val="0"/>
                            </w:pPr>
                          </w:p>
                          <w:p>
                            <w:pPr>
                              <w:pStyle w:val="Body"/>
                              <w:rPr>
                                <w:b w:val="1"/>
                                <w:bCs w:val="1"/>
                              </w:rPr>
                            </w:pPr>
                            <w:r>
                              <w:rPr>
                                <w:b w:val="1"/>
                                <w:bCs w:val="1"/>
                                <w:rtl w:val="0"/>
                                <w:lang w:val="en-US"/>
                              </w:rPr>
                              <w:t>Equation 1. The HINT Equation</w:t>
                            </w:r>
                          </w:p>
                          <w:p>
                            <w:pPr>
                              <w:pStyle w:val="Body"/>
                              <w:numPr>
                                <w:ilvl w:val="0"/>
                                <w:numId w:val="3"/>
                              </w:numPr>
                              <w:tabs>
                                <w:tab w:val="num" w:pos="180"/>
                                <w:tab w:val="clear" w:pos="0"/>
                              </w:tabs>
                              <w:ind w:left="180" w:hanging="180"/>
                              <w:rPr>
                                <w:position w:val="-2"/>
                                <w:sz w:val="20"/>
                                <w:szCs w:val="20"/>
                              </w:rPr>
                            </w:pPr>
                            <w:r>
                              <w:rPr>
                                <w:rFonts w:ascii="Georgia"/>
                                <w:i w:val="1"/>
                                <w:iCs w:val="1"/>
                                <w:sz w:val="20"/>
                                <w:szCs w:val="20"/>
                                <w:rtl w:val="0"/>
                                <w:lang w:val="en-US"/>
                              </w:rPr>
                              <w:t>i &amp; j</w:t>
                            </w:r>
                            <w:r>
                              <w:rPr>
                                <w:sz w:val="20"/>
                                <w:szCs w:val="20"/>
                                <w:rtl w:val="0"/>
                                <w:lang w:val="en-US"/>
                              </w:rPr>
                              <w:t xml:space="preserve"> : the atoms being compared</w:t>
                            </w:r>
                          </w:p>
                          <w:p>
                            <w:pPr>
                              <w:pStyle w:val="Body"/>
                              <w:numPr>
                                <w:ilvl w:val="0"/>
                                <w:numId w:val="4"/>
                              </w:numPr>
                              <w:tabs>
                                <w:tab w:val="num" w:pos="180"/>
                                <w:tab w:val="clear" w:pos="0"/>
                              </w:tabs>
                              <w:ind w:left="180" w:hanging="180"/>
                              <w:rPr>
                                <w:position w:val="-2"/>
                                <w:sz w:val="20"/>
                                <w:szCs w:val="20"/>
                              </w:rPr>
                            </w:pPr>
                            <w:r>
                              <w:rPr>
                                <w:rFonts w:ascii="Georgia"/>
                                <w:i w:val="1"/>
                                <w:iCs w:val="1"/>
                                <w:sz w:val="20"/>
                                <w:szCs w:val="20"/>
                                <w:rtl w:val="0"/>
                                <w:lang w:val="en-US"/>
                              </w:rPr>
                              <w:t>b</w:t>
                            </w:r>
                            <w:r>
                              <w:rPr>
                                <w:sz w:val="20"/>
                                <w:szCs w:val="20"/>
                                <w:rtl w:val="0"/>
                                <w:lang w:val="en-US"/>
                              </w:rPr>
                              <w:t xml:space="preserve"> : the affinity score for i &amp; j</w:t>
                            </w:r>
                          </w:p>
                          <w:p>
                            <w:pPr>
                              <w:pStyle w:val="Body"/>
                              <w:numPr>
                                <w:ilvl w:val="0"/>
                                <w:numId w:val="5"/>
                              </w:numPr>
                              <w:tabs>
                                <w:tab w:val="num" w:pos="180"/>
                                <w:tab w:val="clear" w:pos="0"/>
                              </w:tabs>
                              <w:ind w:left="180" w:hanging="180"/>
                              <w:rPr>
                                <w:position w:val="-2"/>
                                <w:sz w:val="20"/>
                                <w:szCs w:val="20"/>
                              </w:rPr>
                            </w:pPr>
                            <w:r>
                              <w:rPr>
                                <w:rFonts w:ascii="Georgia"/>
                                <w:i w:val="1"/>
                                <w:iCs w:val="1"/>
                                <w:sz w:val="20"/>
                                <w:szCs w:val="20"/>
                                <w:rtl w:val="0"/>
                                <w:lang w:val="en-US"/>
                              </w:rPr>
                              <w:t>a</w:t>
                            </w:r>
                            <w:r>
                              <w:rPr>
                                <w:sz w:val="20"/>
                                <w:szCs w:val="20"/>
                                <w:rtl w:val="0"/>
                                <w:lang w:val="en-US"/>
                              </w:rPr>
                              <w:t xml:space="preserve"> : atomic contact energy</w:t>
                            </w:r>
                          </w:p>
                          <w:p>
                            <w:pPr>
                              <w:pStyle w:val="Body"/>
                              <w:numPr>
                                <w:ilvl w:val="0"/>
                                <w:numId w:val="6"/>
                              </w:numPr>
                              <w:tabs>
                                <w:tab w:val="num" w:pos="180"/>
                                <w:tab w:val="clear" w:pos="0"/>
                              </w:tabs>
                              <w:ind w:left="180" w:hanging="180"/>
                              <w:rPr>
                                <w:position w:val="-2"/>
                                <w:sz w:val="20"/>
                                <w:szCs w:val="20"/>
                              </w:rPr>
                            </w:pPr>
                            <w:r>
                              <w:rPr>
                                <w:rFonts w:ascii="Georgia"/>
                                <w:i w:val="1"/>
                                <w:iCs w:val="1"/>
                                <w:sz w:val="20"/>
                                <w:szCs w:val="20"/>
                                <w:rtl w:val="0"/>
                                <w:lang w:val="en-US"/>
                              </w:rPr>
                              <w:t>S</w:t>
                            </w:r>
                            <w:r>
                              <w:rPr>
                                <w:sz w:val="20"/>
                                <w:szCs w:val="20"/>
                                <w:rtl w:val="0"/>
                                <w:lang w:val="en-US"/>
                              </w:rPr>
                              <w:t xml:space="preserve"> : solvent accessible surface area</w:t>
                            </w:r>
                          </w:p>
                          <w:p>
                            <w:pPr>
                              <w:pStyle w:val="Body"/>
                              <w:numPr>
                                <w:ilvl w:val="0"/>
                                <w:numId w:val="7"/>
                              </w:numPr>
                              <w:tabs>
                                <w:tab w:val="num" w:pos="180"/>
                                <w:tab w:val="clear" w:pos="0"/>
                              </w:tabs>
                              <w:ind w:left="180" w:hanging="180"/>
                              <w:rPr>
                                <w:position w:val="-2"/>
                                <w:sz w:val="20"/>
                                <w:szCs w:val="20"/>
                              </w:rPr>
                            </w:pPr>
                            <w:r>
                              <w:rPr>
                                <w:rFonts w:ascii="Georgia"/>
                                <w:i w:val="1"/>
                                <w:iCs w:val="1"/>
                                <w:sz w:val="20"/>
                                <w:szCs w:val="20"/>
                                <w:rtl w:val="0"/>
                                <w:lang w:val="en-US"/>
                              </w:rPr>
                              <w:t>T</w:t>
                            </w:r>
                            <w:r>
                              <w:rPr>
                                <w:sz w:val="20"/>
                                <w:szCs w:val="20"/>
                                <w:rtl w:val="0"/>
                                <w:lang w:val="en-US"/>
                              </w:rPr>
                              <w:t xml:space="preserve"> : electrostatics (acid/base chem.)</w:t>
                            </w:r>
                          </w:p>
                          <w:p>
                            <w:pPr>
                              <w:pStyle w:val="Body"/>
                              <w:numPr>
                                <w:ilvl w:val="0"/>
                                <w:numId w:val="8"/>
                              </w:numPr>
                              <w:tabs>
                                <w:tab w:val="num" w:pos="180"/>
                                <w:tab w:val="clear" w:pos="0"/>
                              </w:tabs>
                              <w:ind w:left="180" w:hanging="180"/>
                              <w:rPr>
                                <w:position w:val="-2"/>
                                <w:sz w:val="20"/>
                                <w:szCs w:val="20"/>
                              </w:rPr>
                            </w:pPr>
                            <w:r>
                              <w:rPr>
                                <w:rFonts w:ascii="Georgia"/>
                                <w:i w:val="1"/>
                                <w:iCs w:val="1"/>
                                <w:sz w:val="20"/>
                                <w:szCs w:val="20"/>
                                <w:rtl w:val="0"/>
                                <w:lang w:val="en-US"/>
                              </w:rPr>
                              <w:t>R</w:t>
                            </w:r>
                            <w:r>
                              <w:rPr>
                                <w:sz w:val="20"/>
                                <w:szCs w:val="20"/>
                                <w:rtl w:val="0"/>
                                <w:lang w:val="en-US"/>
                              </w:rPr>
                              <w:t xml:space="preserve"> : atomic distance</w:t>
                            </w:r>
                          </w:p>
                          <w:p>
                            <w:pPr>
                              <w:pStyle w:val="Body"/>
                              <w:numPr>
                                <w:ilvl w:val="0"/>
                                <w:numId w:val="9"/>
                              </w:numPr>
                              <w:tabs>
                                <w:tab w:val="num" w:pos="180"/>
                                <w:tab w:val="clear" w:pos="0"/>
                              </w:tabs>
                              <w:ind w:left="180" w:hanging="180"/>
                              <w:rPr>
                                <w:position w:val="-2"/>
                                <w:sz w:val="20"/>
                                <w:szCs w:val="20"/>
                              </w:rPr>
                            </w:pPr>
                            <w:r>
                              <w:rPr>
                                <w:rFonts w:ascii="Georgia"/>
                                <w:i w:val="1"/>
                                <w:iCs w:val="1"/>
                                <w:sz w:val="20"/>
                                <w:szCs w:val="20"/>
                                <w:rtl w:val="0"/>
                                <w:lang w:val="en-US"/>
                              </w:rPr>
                              <w:t>r</w:t>
                            </w:r>
                            <w:r>
                              <w:rPr>
                                <w:sz w:val="20"/>
                                <w:szCs w:val="20"/>
                                <w:rtl w:val="0"/>
                                <w:lang w:val="en-US"/>
                              </w:rPr>
                              <w:t xml:space="preserve"> : Lennard-Jones potential</w:t>
                            </w:r>
                          </w:p>
                        </w:txbxContent>
                      </wps:txbx>
                      <wps:bodyPr wrap="square" lIns="50800" tIns="50800" rIns="50800" bIns="50800" numCol="1" anchor="t">
                        <a:noAutofit/>
                      </wps:bodyPr>
                    </wps:wsp>
                  </a:graphicData>
                </a:graphic>
              </wp:anchor>
            </w:drawing>
          </mc:Choice>
          <mc:Fallback>
            <w:pict>
              <v:rect id="_x0000_s1026" style="visibility:visible;position:absolute;margin-left:281.7pt;margin-top:12.5pt;width:173.7pt;height:134.7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Georgia" w:cs="Georgia" w:hAnsi="Georgia" w:eastAsia="Georgia"/>
                          <w:i w:val="1"/>
                          <w:iCs w:val="1"/>
                          <w:sz w:val="26"/>
                          <w:szCs w:val="26"/>
                        </w:rPr>
                      </w:pPr>
                      <w:r>
                        <w:rPr>
                          <w:rFonts w:ascii="Georgia"/>
                          <w:i w:val="1"/>
                          <w:iCs w:val="1"/>
                          <w:sz w:val="26"/>
                          <w:szCs w:val="26"/>
                          <w:rtl w:val="0"/>
                        </w:rPr>
                        <w:t>b</w:t>
                      </w:r>
                      <w:r>
                        <w:rPr>
                          <w:rFonts w:ascii="Georgia"/>
                          <w:i w:val="1"/>
                          <w:iCs w:val="1"/>
                          <w:sz w:val="26"/>
                          <w:szCs w:val="26"/>
                          <w:vertAlign w:val="subscript"/>
                          <w:rtl w:val="0"/>
                        </w:rPr>
                        <w:t>ij</w:t>
                      </w:r>
                      <w:r>
                        <w:rPr>
                          <w:rFonts w:ascii="Georgia"/>
                          <w:i w:val="1"/>
                          <w:iCs w:val="1"/>
                          <w:sz w:val="26"/>
                          <w:szCs w:val="26"/>
                          <w:rtl w:val="0"/>
                        </w:rPr>
                        <w:t xml:space="preserve"> = a</w:t>
                      </w:r>
                      <w:r>
                        <w:rPr>
                          <w:rFonts w:ascii="Georgia"/>
                          <w:i w:val="1"/>
                          <w:iCs w:val="1"/>
                          <w:sz w:val="26"/>
                          <w:szCs w:val="26"/>
                          <w:vertAlign w:val="subscript"/>
                          <w:rtl w:val="0"/>
                        </w:rPr>
                        <w:t>i</w:t>
                      </w:r>
                      <w:r>
                        <w:rPr>
                          <w:rFonts w:ascii="Georgia"/>
                          <w:i w:val="1"/>
                          <w:iCs w:val="1"/>
                          <w:sz w:val="26"/>
                          <w:szCs w:val="26"/>
                          <w:rtl w:val="0"/>
                        </w:rPr>
                        <w:t xml:space="preserve"> a</w:t>
                      </w:r>
                      <w:r>
                        <w:rPr>
                          <w:rFonts w:ascii="Georgia"/>
                          <w:i w:val="1"/>
                          <w:iCs w:val="1"/>
                          <w:sz w:val="26"/>
                          <w:szCs w:val="26"/>
                          <w:vertAlign w:val="subscript"/>
                          <w:rtl w:val="0"/>
                        </w:rPr>
                        <w:t xml:space="preserve">j </w:t>
                      </w:r>
                      <w:r>
                        <w:rPr>
                          <w:rFonts w:ascii="Georgia"/>
                          <w:i w:val="1"/>
                          <w:iCs w:val="1"/>
                          <w:sz w:val="26"/>
                          <w:szCs w:val="26"/>
                          <w:rtl w:val="0"/>
                        </w:rPr>
                        <w:t>S</w:t>
                      </w:r>
                      <w:r>
                        <w:rPr>
                          <w:rFonts w:ascii="Georgia"/>
                          <w:i w:val="1"/>
                          <w:iCs w:val="1"/>
                          <w:sz w:val="26"/>
                          <w:szCs w:val="26"/>
                          <w:vertAlign w:val="subscript"/>
                          <w:rtl w:val="0"/>
                        </w:rPr>
                        <w:t>i</w:t>
                      </w:r>
                      <w:r>
                        <w:rPr>
                          <w:rFonts w:ascii="Georgia"/>
                          <w:i w:val="1"/>
                          <w:iCs w:val="1"/>
                          <w:sz w:val="26"/>
                          <w:szCs w:val="26"/>
                          <w:vertAlign w:val="subscript"/>
                          <w:rtl w:val="0"/>
                          <w:lang w:val="en-US"/>
                        </w:rPr>
                        <w:t xml:space="preserve"> </w:t>
                      </w:r>
                      <w:r>
                        <w:rPr>
                          <w:rFonts w:ascii="Georgia"/>
                          <w:i w:val="1"/>
                          <w:iCs w:val="1"/>
                          <w:sz w:val="26"/>
                          <w:szCs w:val="26"/>
                          <w:rtl w:val="0"/>
                        </w:rPr>
                        <w:t>S</w:t>
                      </w:r>
                      <w:r>
                        <w:rPr>
                          <w:rFonts w:ascii="Georgia"/>
                          <w:i w:val="1"/>
                          <w:iCs w:val="1"/>
                          <w:sz w:val="26"/>
                          <w:szCs w:val="26"/>
                          <w:vertAlign w:val="subscript"/>
                          <w:rtl w:val="0"/>
                        </w:rPr>
                        <w:t>j</w:t>
                      </w:r>
                      <w:r>
                        <w:rPr>
                          <w:rFonts w:ascii="Georgia"/>
                          <w:i w:val="1"/>
                          <w:iCs w:val="1"/>
                          <w:sz w:val="26"/>
                          <w:szCs w:val="26"/>
                          <w:rtl w:val="0"/>
                        </w:rPr>
                        <w:t xml:space="preserve"> T</w:t>
                      </w:r>
                      <w:r>
                        <w:rPr>
                          <w:rFonts w:ascii="Georgia"/>
                          <w:i w:val="1"/>
                          <w:iCs w:val="1"/>
                          <w:sz w:val="26"/>
                          <w:szCs w:val="26"/>
                          <w:vertAlign w:val="subscript"/>
                          <w:rtl w:val="0"/>
                        </w:rPr>
                        <w:t>ij</w:t>
                      </w:r>
                      <w:r>
                        <w:rPr>
                          <w:rFonts w:ascii="Georgia"/>
                          <w:i w:val="1"/>
                          <w:iCs w:val="1"/>
                          <w:sz w:val="26"/>
                          <w:szCs w:val="26"/>
                          <w:rtl w:val="0"/>
                        </w:rPr>
                        <w:t xml:space="preserve"> R</w:t>
                      </w:r>
                      <w:r>
                        <w:rPr>
                          <w:rFonts w:ascii="Georgia"/>
                          <w:i w:val="1"/>
                          <w:iCs w:val="1"/>
                          <w:sz w:val="26"/>
                          <w:szCs w:val="26"/>
                          <w:vertAlign w:val="subscript"/>
                          <w:rtl w:val="0"/>
                        </w:rPr>
                        <w:t>ij</w:t>
                      </w:r>
                      <w:r>
                        <w:rPr>
                          <w:rFonts w:ascii="Georgia"/>
                          <w:i w:val="1"/>
                          <w:iCs w:val="1"/>
                          <w:sz w:val="26"/>
                          <w:szCs w:val="26"/>
                          <w:rtl w:val="0"/>
                          <w:lang w:val="de-DE"/>
                        </w:rPr>
                        <w:t xml:space="preserve"> + r</w:t>
                      </w:r>
                      <w:r>
                        <w:rPr>
                          <w:rFonts w:ascii="Georgia"/>
                          <w:i w:val="1"/>
                          <w:iCs w:val="1"/>
                          <w:sz w:val="26"/>
                          <w:szCs w:val="26"/>
                          <w:vertAlign w:val="subscript"/>
                          <w:rtl w:val="0"/>
                        </w:rPr>
                        <w:t>ij</w:t>
                      </w:r>
                    </w:p>
                    <w:p>
                      <w:pPr>
                        <w:pStyle w:val="Body"/>
                        <w:bidi w:val="0"/>
                      </w:pPr>
                    </w:p>
                    <w:p>
                      <w:pPr>
                        <w:pStyle w:val="Body"/>
                        <w:rPr>
                          <w:b w:val="1"/>
                          <w:bCs w:val="1"/>
                        </w:rPr>
                      </w:pPr>
                      <w:r>
                        <w:rPr>
                          <w:b w:val="1"/>
                          <w:bCs w:val="1"/>
                          <w:rtl w:val="0"/>
                          <w:lang w:val="en-US"/>
                        </w:rPr>
                        <w:t>Equation 1. The HINT Equation</w:t>
                      </w:r>
                    </w:p>
                    <w:p>
                      <w:pPr>
                        <w:pStyle w:val="Body"/>
                        <w:numPr>
                          <w:ilvl w:val="0"/>
                          <w:numId w:val="3"/>
                        </w:numPr>
                        <w:tabs>
                          <w:tab w:val="num" w:pos="180"/>
                          <w:tab w:val="clear" w:pos="0"/>
                        </w:tabs>
                        <w:ind w:left="180" w:hanging="180"/>
                        <w:rPr>
                          <w:position w:val="-2"/>
                          <w:sz w:val="20"/>
                          <w:szCs w:val="20"/>
                        </w:rPr>
                      </w:pPr>
                      <w:r>
                        <w:rPr>
                          <w:rFonts w:ascii="Georgia"/>
                          <w:i w:val="1"/>
                          <w:iCs w:val="1"/>
                          <w:sz w:val="20"/>
                          <w:szCs w:val="20"/>
                          <w:rtl w:val="0"/>
                          <w:lang w:val="en-US"/>
                        </w:rPr>
                        <w:t>i &amp; j</w:t>
                      </w:r>
                      <w:r>
                        <w:rPr>
                          <w:sz w:val="20"/>
                          <w:szCs w:val="20"/>
                          <w:rtl w:val="0"/>
                          <w:lang w:val="en-US"/>
                        </w:rPr>
                        <w:t xml:space="preserve"> : the atoms being compared</w:t>
                      </w:r>
                    </w:p>
                    <w:p>
                      <w:pPr>
                        <w:pStyle w:val="Body"/>
                        <w:numPr>
                          <w:ilvl w:val="0"/>
                          <w:numId w:val="4"/>
                        </w:numPr>
                        <w:tabs>
                          <w:tab w:val="num" w:pos="180"/>
                          <w:tab w:val="clear" w:pos="0"/>
                        </w:tabs>
                        <w:ind w:left="180" w:hanging="180"/>
                        <w:rPr>
                          <w:position w:val="-2"/>
                          <w:sz w:val="20"/>
                          <w:szCs w:val="20"/>
                        </w:rPr>
                      </w:pPr>
                      <w:r>
                        <w:rPr>
                          <w:rFonts w:ascii="Georgia"/>
                          <w:i w:val="1"/>
                          <w:iCs w:val="1"/>
                          <w:sz w:val="20"/>
                          <w:szCs w:val="20"/>
                          <w:rtl w:val="0"/>
                          <w:lang w:val="en-US"/>
                        </w:rPr>
                        <w:t>b</w:t>
                      </w:r>
                      <w:r>
                        <w:rPr>
                          <w:sz w:val="20"/>
                          <w:szCs w:val="20"/>
                          <w:rtl w:val="0"/>
                          <w:lang w:val="en-US"/>
                        </w:rPr>
                        <w:t xml:space="preserve"> : the affinity score for i &amp; j</w:t>
                      </w:r>
                    </w:p>
                    <w:p>
                      <w:pPr>
                        <w:pStyle w:val="Body"/>
                        <w:numPr>
                          <w:ilvl w:val="0"/>
                          <w:numId w:val="5"/>
                        </w:numPr>
                        <w:tabs>
                          <w:tab w:val="num" w:pos="180"/>
                          <w:tab w:val="clear" w:pos="0"/>
                        </w:tabs>
                        <w:ind w:left="180" w:hanging="180"/>
                        <w:rPr>
                          <w:position w:val="-2"/>
                          <w:sz w:val="20"/>
                          <w:szCs w:val="20"/>
                        </w:rPr>
                      </w:pPr>
                      <w:r>
                        <w:rPr>
                          <w:rFonts w:ascii="Georgia"/>
                          <w:i w:val="1"/>
                          <w:iCs w:val="1"/>
                          <w:sz w:val="20"/>
                          <w:szCs w:val="20"/>
                          <w:rtl w:val="0"/>
                          <w:lang w:val="en-US"/>
                        </w:rPr>
                        <w:t>a</w:t>
                      </w:r>
                      <w:r>
                        <w:rPr>
                          <w:sz w:val="20"/>
                          <w:szCs w:val="20"/>
                          <w:rtl w:val="0"/>
                          <w:lang w:val="en-US"/>
                        </w:rPr>
                        <w:t xml:space="preserve"> : atomic contact energy</w:t>
                      </w:r>
                    </w:p>
                    <w:p>
                      <w:pPr>
                        <w:pStyle w:val="Body"/>
                        <w:numPr>
                          <w:ilvl w:val="0"/>
                          <w:numId w:val="6"/>
                        </w:numPr>
                        <w:tabs>
                          <w:tab w:val="num" w:pos="180"/>
                          <w:tab w:val="clear" w:pos="0"/>
                        </w:tabs>
                        <w:ind w:left="180" w:hanging="180"/>
                        <w:rPr>
                          <w:position w:val="-2"/>
                          <w:sz w:val="20"/>
                          <w:szCs w:val="20"/>
                        </w:rPr>
                      </w:pPr>
                      <w:r>
                        <w:rPr>
                          <w:rFonts w:ascii="Georgia"/>
                          <w:i w:val="1"/>
                          <w:iCs w:val="1"/>
                          <w:sz w:val="20"/>
                          <w:szCs w:val="20"/>
                          <w:rtl w:val="0"/>
                          <w:lang w:val="en-US"/>
                        </w:rPr>
                        <w:t>S</w:t>
                      </w:r>
                      <w:r>
                        <w:rPr>
                          <w:sz w:val="20"/>
                          <w:szCs w:val="20"/>
                          <w:rtl w:val="0"/>
                          <w:lang w:val="en-US"/>
                        </w:rPr>
                        <w:t xml:space="preserve"> : solvent accessible surface area</w:t>
                      </w:r>
                    </w:p>
                    <w:p>
                      <w:pPr>
                        <w:pStyle w:val="Body"/>
                        <w:numPr>
                          <w:ilvl w:val="0"/>
                          <w:numId w:val="7"/>
                        </w:numPr>
                        <w:tabs>
                          <w:tab w:val="num" w:pos="180"/>
                          <w:tab w:val="clear" w:pos="0"/>
                        </w:tabs>
                        <w:ind w:left="180" w:hanging="180"/>
                        <w:rPr>
                          <w:position w:val="-2"/>
                          <w:sz w:val="20"/>
                          <w:szCs w:val="20"/>
                        </w:rPr>
                      </w:pPr>
                      <w:r>
                        <w:rPr>
                          <w:rFonts w:ascii="Georgia"/>
                          <w:i w:val="1"/>
                          <w:iCs w:val="1"/>
                          <w:sz w:val="20"/>
                          <w:szCs w:val="20"/>
                          <w:rtl w:val="0"/>
                          <w:lang w:val="en-US"/>
                        </w:rPr>
                        <w:t>T</w:t>
                      </w:r>
                      <w:r>
                        <w:rPr>
                          <w:sz w:val="20"/>
                          <w:szCs w:val="20"/>
                          <w:rtl w:val="0"/>
                          <w:lang w:val="en-US"/>
                        </w:rPr>
                        <w:t xml:space="preserve"> : electrostatics (acid/base chem.)</w:t>
                      </w:r>
                    </w:p>
                    <w:p>
                      <w:pPr>
                        <w:pStyle w:val="Body"/>
                        <w:numPr>
                          <w:ilvl w:val="0"/>
                          <w:numId w:val="8"/>
                        </w:numPr>
                        <w:tabs>
                          <w:tab w:val="num" w:pos="180"/>
                          <w:tab w:val="clear" w:pos="0"/>
                        </w:tabs>
                        <w:ind w:left="180" w:hanging="180"/>
                        <w:rPr>
                          <w:position w:val="-2"/>
                          <w:sz w:val="20"/>
                          <w:szCs w:val="20"/>
                        </w:rPr>
                      </w:pPr>
                      <w:r>
                        <w:rPr>
                          <w:rFonts w:ascii="Georgia"/>
                          <w:i w:val="1"/>
                          <w:iCs w:val="1"/>
                          <w:sz w:val="20"/>
                          <w:szCs w:val="20"/>
                          <w:rtl w:val="0"/>
                          <w:lang w:val="en-US"/>
                        </w:rPr>
                        <w:t>R</w:t>
                      </w:r>
                      <w:r>
                        <w:rPr>
                          <w:sz w:val="20"/>
                          <w:szCs w:val="20"/>
                          <w:rtl w:val="0"/>
                          <w:lang w:val="en-US"/>
                        </w:rPr>
                        <w:t xml:space="preserve"> : atomic distance</w:t>
                      </w:r>
                    </w:p>
                    <w:p>
                      <w:pPr>
                        <w:pStyle w:val="Body"/>
                        <w:numPr>
                          <w:ilvl w:val="0"/>
                          <w:numId w:val="9"/>
                        </w:numPr>
                        <w:tabs>
                          <w:tab w:val="num" w:pos="180"/>
                          <w:tab w:val="clear" w:pos="0"/>
                        </w:tabs>
                        <w:ind w:left="180" w:hanging="180"/>
                        <w:rPr>
                          <w:position w:val="-2"/>
                          <w:sz w:val="20"/>
                          <w:szCs w:val="20"/>
                        </w:rPr>
                      </w:pPr>
                      <w:r>
                        <w:rPr>
                          <w:rFonts w:ascii="Georgia"/>
                          <w:i w:val="1"/>
                          <w:iCs w:val="1"/>
                          <w:sz w:val="20"/>
                          <w:szCs w:val="20"/>
                          <w:rtl w:val="0"/>
                          <w:lang w:val="en-US"/>
                        </w:rPr>
                        <w:t>r</w:t>
                      </w:r>
                      <w:r>
                        <w:rPr>
                          <w:sz w:val="20"/>
                          <w:szCs w:val="20"/>
                          <w:rtl w:val="0"/>
                          <w:lang w:val="en-US"/>
                        </w:rPr>
                        <w:t xml:space="preserve"> : Lennard-Jones potential</w:t>
                      </w:r>
                    </w:p>
                  </w:txbxContent>
                </v:textbox>
                <w10:wrap type="through" side="bothSides" anchorx="margin"/>
              </v:rect>
            </w:pict>
          </mc:Fallback>
        </mc:AlternateContent>
      </w:r>
      <w:r>
        <w:rPr>
          <w:rFonts w:ascii="Helvetica Neue"/>
          <w:rtl w:val="0"/>
          <w:lang w:val="en-US"/>
        </w:rPr>
        <w:t xml:space="preserve"> interaction. </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The model of interest in this experiment will be the Hydropathic INTeractions (HINT) model developed at Virginia Commonwealth University (</w:t>
      </w:r>
      <w:r>
        <w:rPr>
          <w:rFonts w:ascii="Helvetica Neue"/>
          <w:rtl w:val="0"/>
          <w:lang w:val="en-US"/>
        </w:rPr>
        <w:t>6</w:t>
      </w:r>
      <w:r>
        <w:rPr>
          <w:rFonts w:ascii="Helvetica Neue"/>
          <w:rtl w:val="0"/>
        </w:rPr>
        <w:t>) (</w:t>
      </w:r>
      <w:r>
        <w:rPr>
          <w:rFonts w:ascii="Helvetica Neue"/>
          <w:rtl w:val="0"/>
          <w:lang w:val="en-US"/>
        </w:rPr>
        <w:t>7</w:t>
      </w:r>
      <w:r>
        <w:rPr>
          <w:rFonts w:ascii="Helvetica Neue"/>
          <w:rtl w:val="0"/>
        </w:rPr>
        <w:t>).</w:t>
      </w:r>
      <w:r>
        <w:rPr>
          <w:rFonts w:ascii="Helvetica Neue"/>
          <w:rtl w:val="0"/>
          <w:lang w:val="en-US"/>
        </w:rPr>
        <w:t xml:space="preserve"> The HINT equation, along with the chemical properties it evaluates are shown in equation 1. The equation produces scores on an atom by atom basis, and sums them up at the end, thus producing a score for the molecules as a whole.</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 xml:space="preserve">Li et al (2007) found that </w:t>
      </w:r>
      <w:r>
        <w:rPr>
          <w:rFonts w:hAnsi="Helvetica Neue" w:hint="default"/>
          <w:rtl w:val="0"/>
          <w:lang w:val="en-US"/>
        </w:rPr>
        <w:t>“</w:t>
      </w:r>
      <w:r>
        <w:rPr>
          <w:rFonts w:ascii="Helvetica Neue"/>
          <w:rtl w:val="0"/>
          <w:lang w:val="en-US"/>
        </w:rPr>
        <w:t>weighing</w:t>
      </w:r>
      <w:r>
        <w:rPr>
          <w:rFonts w:hAnsi="Helvetica Neue" w:hint="default"/>
          <w:rtl w:val="0"/>
          <w:lang w:val="en-US"/>
        </w:rPr>
        <w:t xml:space="preserve">” </w:t>
      </w:r>
      <w:r>
        <w:rPr>
          <w:rFonts w:ascii="Helvetica Neue"/>
          <w:rtl w:val="0"/>
          <w:lang w:val="en-US"/>
        </w:rPr>
        <w:t>different chemical properties allows for the simulation model to produce a more type-specific affinity score, based on the properties of the protein complex being evaluated. A summary of their results shown in table 1 shows that once processed through their weighted equation, the success of the binding simulation improved (4).</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p>
    <w:p>
      <w:pPr>
        <w:pStyle w:val="Body"/>
        <w:spacing w:line="288" w:lineRule="auto"/>
        <w:jc w:val="center"/>
        <w:rPr>
          <w:rFonts w:ascii="Helvetica Neue" w:cs="Helvetica Neue" w:hAnsi="Helvetica Neue" w:eastAsia="Helvetica Neue"/>
          <w:b w:val="1"/>
          <w:bCs w:val="1"/>
        </w:rPr>
      </w:pPr>
      <w:r>
        <w:rPr>
          <w:rFonts w:ascii="Helvetica Neue"/>
          <w:b w:val="1"/>
          <w:bCs w:val="1"/>
          <w:rtl w:val="0"/>
          <w:lang w:val="en-US"/>
        </w:rPr>
        <w:t>Table 1</w:t>
      </w:r>
    </w:p>
    <w:p>
      <w:pPr>
        <w:pStyle w:val="Body"/>
        <w:spacing w:line="288" w:lineRule="auto"/>
        <w:jc w:val="center"/>
        <w:rPr>
          <w:rFonts w:ascii="Helvetica Neue" w:cs="Helvetica Neue" w:hAnsi="Helvetica Neue" w:eastAsia="Helvetica Neue"/>
          <w:i w:val="1"/>
          <w:iCs w:val="1"/>
        </w:rPr>
      </w:pPr>
      <w:r>
        <w:rPr>
          <w:rFonts w:ascii="Helvetica Neue"/>
          <w:i w:val="1"/>
          <w:iCs w:val="1"/>
          <w:rtl w:val="0"/>
          <w:lang w:val="en-US"/>
        </w:rPr>
        <w:t>Post-weighted equation results from Li et al (2007)</w:t>
      </w:r>
    </w:p>
    <w:tbl>
      <w:tblPr>
        <w:tblW w:w="7008"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77"/>
        <w:gridCol w:w="4331"/>
      </w:tblGrid>
      <w:tr>
        <w:tblPrEx>
          <w:shd w:val="clear" w:color="auto" w:fill="auto"/>
        </w:tblPrEx>
        <w:trPr>
          <w:trHeight w:val="279" w:hRule="atLeast"/>
        </w:trPr>
        <w:tc>
          <w:tcPr>
            <w:tcW w:type="dxa" w:w="2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Name</w:t>
            </w:r>
          </w:p>
        </w:tc>
        <w:tc>
          <w:tcPr>
            <w:tcW w:type="dxa" w:w="43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b w:val="1"/>
                <w:bCs w:val="1"/>
                <w:rtl w:val="0"/>
              </w:rPr>
              <w:t>Success Ratio</w:t>
            </w:r>
          </w:p>
        </w:tc>
      </w:tr>
      <w:tr>
        <w:tblPrEx>
          <w:shd w:val="clear" w:color="auto" w:fill="auto"/>
        </w:tblPrEx>
        <w:trPr>
          <w:trHeight w:val="279" w:hRule="atLeast"/>
        </w:trPr>
        <w:tc>
          <w:tcPr>
            <w:tcW w:type="dxa" w:w="2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Protease/Inhibitor</w:t>
            </w:r>
          </w:p>
        </w:tc>
        <w:tc>
          <w:tcPr>
            <w:tcW w:type="dxa" w:w="43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16/17</w:t>
            </w:r>
          </w:p>
        </w:tc>
      </w:tr>
      <w:tr>
        <w:tblPrEx>
          <w:shd w:val="clear" w:color="auto" w:fill="auto"/>
        </w:tblPrEx>
        <w:trPr>
          <w:trHeight w:val="279" w:hRule="atLeast"/>
        </w:trPr>
        <w:tc>
          <w:tcPr>
            <w:tcW w:type="dxa" w:w="2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Enzyme/Inhibitor</w:t>
            </w:r>
          </w:p>
        </w:tc>
        <w:tc>
          <w:tcPr>
            <w:tcW w:type="dxa" w:w="43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6/6</w:t>
            </w:r>
          </w:p>
        </w:tc>
      </w:tr>
      <w:tr>
        <w:tblPrEx>
          <w:shd w:val="clear" w:color="auto" w:fill="auto"/>
        </w:tblPrEx>
        <w:trPr>
          <w:trHeight w:val="279" w:hRule="atLeast"/>
        </w:trPr>
        <w:tc>
          <w:tcPr>
            <w:tcW w:type="dxa" w:w="2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Antibody/Antigen</w:t>
            </w:r>
          </w:p>
        </w:tc>
        <w:tc>
          <w:tcPr>
            <w:tcW w:type="dxa" w:w="43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18/19</w:t>
            </w:r>
          </w:p>
        </w:tc>
      </w:tr>
      <w:tr>
        <w:tblPrEx>
          <w:shd w:val="clear" w:color="auto" w:fill="auto"/>
        </w:tblPrEx>
        <w:trPr>
          <w:trHeight w:val="279" w:hRule="atLeast"/>
        </w:trPr>
        <w:tc>
          <w:tcPr>
            <w:tcW w:type="dxa" w:w="26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Other</w:t>
            </w:r>
          </w:p>
        </w:tc>
        <w:tc>
          <w:tcPr>
            <w:tcW w:type="dxa" w:w="43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11/15</w:t>
            </w:r>
          </w:p>
        </w:tc>
      </w:tr>
    </w:tbl>
    <w:p>
      <w:pPr>
        <w:pStyle w:val="Body"/>
        <w:spacing w:line="288" w:lineRule="auto"/>
        <w:jc w:val="center"/>
        <w:rPr>
          <w:rFonts w:ascii="Helvetica Neue" w:cs="Helvetica Neue" w:hAnsi="Helvetica Neue" w:eastAsia="Helvetica Neue"/>
        </w:rPr>
      </w:pP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 xml:space="preserve">With these results in mind, this experiment seeks to find whether weighing the HINT algorithm through exponentiation of the variables </w:t>
      </w:r>
      <w:r>
        <w:rPr>
          <w:rFonts w:ascii="Georgia"/>
          <w:i w:val="1"/>
          <w:iCs w:val="1"/>
          <w:rtl w:val="0"/>
          <w:lang w:val="en-US"/>
        </w:rPr>
        <w:t xml:space="preserve">a, S, T, R, </w:t>
      </w:r>
      <w:r>
        <w:rPr>
          <w:rFonts w:ascii="Helvetica Neue"/>
          <w:i w:val="1"/>
          <w:iCs w:val="1"/>
          <w:rtl w:val="0"/>
          <w:lang w:val="en-US"/>
        </w:rPr>
        <w:t>and</w:t>
      </w:r>
      <w:r>
        <w:rPr>
          <w:rFonts w:ascii="Georgia"/>
          <w:i w:val="1"/>
          <w:iCs w:val="1"/>
          <w:rtl w:val="0"/>
          <w:lang w:val="en-US"/>
        </w:rPr>
        <w:t xml:space="preserve"> r </w:t>
      </w:r>
      <w:r>
        <w:rPr>
          <w:rFonts w:ascii="Helvetica Neue"/>
          <w:rtl w:val="0"/>
          <w:lang w:val="en-US"/>
        </w:rPr>
        <w:t>will allow for the discovery of which</w:t>
      </w:r>
      <w:r>
        <w:rPr>
          <w:rFonts w:ascii="Helvetica Neue" w:cs="Helvetica Neue" w:hAnsi="Helvetica Neue" w:eastAsia="Helvetica Neue"/>
        </w:rPr>
        <mc:AlternateContent>
          <mc:Choice Requires="wps">
            <w:drawing>
              <wp:anchor distT="152400" distB="152400" distL="152400" distR="152400" simplePos="0" relativeHeight="251661312" behindDoc="0" locked="0" layoutInCell="1" allowOverlap="1">
                <wp:simplePos x="0" y="0"/>
                <wp:positionH relativeFrom="margin">
                  <wp:posOffset>3538073</wp:posOffset>
                </wp:positionH>
                <wp:positionV relativeFrom="line">
                  <wp:posOffset>335640</wp:posOffset>
                </wp:positionV>
                <wp:extent cx="285202" cy="28511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85202" cy="285111"/>
                        </a:xfrm>
                        <a:prstGeom prst="rect">
                          <a:avLst/>
                        </a:prstGeom>
                        <a:noFill/>
                        <a:ln w="12700" cap="flat">
                          <a:noFill/>
                          <a:miter lim="400000"/>
                        </a:ln>
                        <a:effectLst/>
                      </wps:spPr>
                      <wps:txbx>
                        <w:txbxContent>
                          <w:p>
                            <w:pPr>
                              <w:pStyle w:val="Body"/>
                            </w:pPr>
                            <w:r>
                              <w:rPr>
                                <w:b w:val="1"/>
                                <w:bCs w:val="1"/>
                                <w:sz w:val="18"/>
                                <w:szCs w:val="18"/>
                                <w:rtl w:val="0"/>
                                <w:lang w:val="en-US"/>
                              </w:rPr>
                              <w:t>#1</w:t>
                            </w:r>
                          </w:p>
                        </w:txbxContent>
                      </wps:txbx>
                      <wps:bodyPr wrap="square" lIns="50800" tIns="50800" rIns="50800" bIns="50800" numCol="1" anchor="t">
                        <a:noAutofit/>
                      </wps:bodyPr>
                    </wps:wsp>
                  </a:graphicData>
                </a:graphic>
              </wp:anchor>
            </w:drawing>
          </mc:Choice>
          <mc:Fallback>
            <w:pict>
              <v:rect id="_x0000_s1027" style="visibility:visible;position:absolute;margin-left:278.6pt;margin-top:26.4pt;width:22.5pt;height:22.4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18"/>
                          <w:szCs w:val="18"/>
                          <w:rtl w:val="0"/>
                          <w:lang w:val="en-US"/>
                        </w:rPr>
                        <w:t>#1</w:t>
                      </w:r>
                    </w:p>
                  </w:txbxContent>
                </v:textbox>
                <w10:wrap type="none" side="bothSides" anchorx="margin"/>
              </v:rect>
            </w:pict>
          </mc:Fallback>
        </mc:AlternateContent>
      </w:r>
      <w:r>
        <w:rPr>
          <w:rFonts w:ascii="Helvetica Neue" w:cs="Helvetica Neue" w:hAnsi="Helvetica Neue" w:eastAsia="Helvetica Neue"/>
        </w:rPr>
        <mc:AlternateContent>
          <mc:Choice Requires="wps">
            <w:drawing>
              <wp:anchor distT="152400" distB="152400" distL="152400" distR="152400" simplePos="0" relativeHeight="251662336" behindDoc="0" locked="0" layoutInCell="1" allowOverlap="1">
                <wp:simplePos x="0" y="0"/>
                <wp:positionH relativeFrom="margin">
                  <wp:posOffset>4677441</wp:posOffset>
                </wp:positionH>
                <wp:positionV relativeFrom="line">
                  <wp:posOffset>341934</wp:posOffset>
                </wp:positionV>
                <wp:extent cx="285202" cy="28511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85202" cy="285111"/>
                        </a:xfrm>
                        <a:prstGeom prst="rect">
                          <a:avLst/>
                        </a:prstGeom>
                        <a:noFill/>
                        <a:ln w="12700" cap="flat">
                          <a:noFill/>
                          <a:miter lim="400000"/>
                        </a:ln>
                        <a:effectLst/>
                      </wps:spPr>
                      <wps:txbx>
                        <w:txbxContent>
                          <w:p>
                            <w:pPr>
                              <w:pStyle w:val="Body"/>
                            </w:pPr>
                            <w:r>
                              <w:rPr>
                                <w:b w:val="1"/>
                                <w:bCs w:val="1"/>
                                <w:sz w:val="18"/>
                                <w:szCs w:val="18"/>
                                <w:rtl w:val="0"/>
                                <w:lang w:val="en-US"/>
                              </w:rPr>
                              <w:t>#2</w:t>
                            </w:r>
                          </w:p>
                        </w:txbxContent>
                      </wps:txbx>
                      <wps:bodyPr wrap="square" lIns="50800" tIns="50800" rIns="50800" bIns="50800" numCol="1" anchor="t">
                        <a:noAutofit/>
                      </wps:bodyPr>
                    </wps:wsp>
                  </a:graphicData>
                </a:graphic>
              </wp:anchor>
            </w:drawing>
          </mc:Choice>
          <mc:Fallback>
            <w:pict>
              <v:rect id="_x0000_s1028" style="visibility:visible;position:absolute;margin-left:368.3pt;margin-top:26.9pt;width:22.5pt;height:22.4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18"/>
                          <w:szCs w:val="18"/>
                          <w:rtl w:val="0"/>
                          <w:lang w:val="en-US"/>
                        </w:rPr>
                        <w:t>#2</w:t>
                      </w:r>
                    </w:p>
                  </w:txbxContent>
                </v:textbox>
                <w10:wrap type="none" side="bothSides" anchorx="margin"/>
              </v:rect>
            </w:pict>
          </mc:Fallback>
        </mc:AlternateContent>
      </w:r>
      <w:r>
        <w:rPr>
          <w:rFonts w:ascii="Helvetica Neue" w:cs="Helvetica Neue" w:hAnsi="Helvetica Neue" w:eastAsia="Helvetica Neue"/>
        </w:rPr>
        <mc:AlternateContent>
          <mc:Choice Requires="wps">
            <w:drawing>
              <wp:anchor distT="152400" distB="152400" distL="152400" distR="152400" simplePos="0" relativeHeight="251663360" behindDoc="0" locked="0" layoutInCell="1" allowOverlap="1">
                <wp:simplePos x="0" y="0"/>
                <wp:positionH relativeFrom="margin">
                  <wp:posOffset>5420086</wp:posOffset>
                </wp:positionH>
                <wp:positionV relativeFrom="line">
                  <wp:posOffset>342046</wp:posOffset>
                </wp:positionV>
                <wp:extent cx="285202" cy="285111"/>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85202" cy="285111"/>
                        </a:xfrm>
                        <a:prstGeom prst="rect">
                          <a:avLst/>
                        </a:prstGeom>
                        <a:noFill/>
                        <a:ln w="12700" cap="flat">
                          <a:noFill/>
                          <a:miter lim="400000"/>
                        </a:ln>
                        <a:effectLst/>
                      </wps:spPr>
                      <wps:txbx>
                        <w:txbxContent>
                          <w:p>
                            <w:pPr>
                              <w:pStyle w:val="Body"/>
                            </w:pPr>
                            <w:r>
                              <w:rPr>
                                <w:b w:val="1"/>
                                <w:bCs w:val="1"/>
                                <w:sz w:val="18"/>
                                <w:szCs w:val="18"/>
                                <w:rtl w:val="0"/>
                                <w:lang w:val="en-US"/>
                              </w:rPr>
                              <w:t>#3</w:t>
                            </w:r>
                          </w:p>
                        </w:txbxContent>
                      </wps:txbx>
                      <wps:bodyPr wrap="square" lIns="50800" tIns="50800" rIns="50800" bIns="50800" numCol="1" anchor="t">
                        <a:noAutofit/>
                      </wps:bodyPr>
                    </wps:wsp>
                  </a:graphicData>
                </a:graphic>
              </wp:anchor>
            </w:drawing>
          </mc:Choice>
          <mc:Fallback>
            <w:pict>
              <v:rect id="_x0000_s1029" style="visibility:visible;position:absolute;margin-left:426.8pt;margin-top:26.9pt;width:22.5pt;height:22.4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18"/>
                          <w:szCs w:val="18"/>
                          <w:rtl w:val="0"/>
                          <w:lang w:val="en-US"/>
                        </w:rPr>
                        <w:t>#3</w:t>
                      </w:r>
                    </w:p>
                  </w:txbxContent>
                </v:textbox>
                <w10:wrap type="none" side="bothSides" anchorx="margin"/>
              </v:rect>
            </w:pict>
          </mc:Fallback>
        </mc:AlternateContent>
      </w:r>
      <w:r>
        <w:rPr>
          <w:rFonts w:ascii="Helvetica Neue"/>
          <w:rtl w:val="0"/>
          <w:lang w:val="en-US"/>
        </w:rPr>
        <w:t xml:space="preserve"> chemical properties play the greatest role in the binding of enzyme/inhibitor complexes.</w:t>
      </w:r>
      <w:r>
        <w:rPr>
          <w:rFonts w:ascii="Helvetica Neue" w:cs="Helvetica Neue" w:hAnsi="Helvetica Neue" w:eastAsia="Helvetica Neue"/>
        </w:rPr>
        <w:drawing>
          <wp:anchor distT="152400" distB="152400" distL="152400" distR="152400" simplePos="0" relativeHeight="251660288" behindDoc="0" locked="0" layoutInCell="1" allowOverlap="1">
            <wp:simplePos x="0" y="0"/>
            <wp:positionH relativeFrom="margin">
              <wp:posOffset>2964821</wp:posOffset>
            </wp:positionH>
            <wp:positionV relativeFrom="line">
              <wp:posOffset>322988</wp:posOffset>
            </wp:positionV>
            <wp:extent cx="2964809" cy="2023600"/>
            <wp:effectExtent l="0" t="0" r="0" b="0"/>
            <wp:wrapThrough wrapText="bothSides" distL="152400" distR="152400">
              <wp:wrapPolygon edited="1">
                <wp:start x="0" y="0"/>
                <wp:lineTo x="0" y="21601"/>
                <wp:lineTo x="21599" y="21601"/>
                <wp:lineTo x="21599"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6-04-29 at 5.32.49 PM.png"/>
                    <pic:cNvPicPr/>
                  </pic:nvPicPr>
                  <pic:blipFill>
                    <a:blip r:embed="rId4">
                      <a:extLst/>
                    </a:blip>
                    <a:srcRect l="4121" t="1817" r="4121" b="6424"/>
                    <a:stretch>
                      <a:fillRect/>
                    </a:stretch>
                  </pic:blipFill>
                  <pic:spPr>
                    <a:xfrm>
                      <a:off x="0" y="0"/>
                      <a:ext cx="2964809" cy="2023600"/>
                    </a:xfrm>
                    <a:prstGeom prst="rect">
                      <a:avLst/>
                    </a:prstGeom>
                    <a:ln w="12700" cap="flat">
                      <a:noFill/>
                      <a:miter lim="400000"/>
                    </a:ln>
                    <a:effectLst/>
                  </pic:spPr>
                </pic:pic>
              </a:graphicData>
            </a:graphic>
          </wp:anchor>
        </w:drawing>
      </w:r>
      <w:r>
        <w:rPr>
          <w:rFonts w:ascii="Helvetica Neue"/>
          <w:rtl w:val="0"/>
          <w:lang w:val="en-US"/>
        </w:rPr>
        <w:t xml:space="preserve"> </w:t>
      </w:r>
    </w:p>
    <w:p>
      <w:pPr>
        <w:pStyle w:val="Body"/>
        <w:spacing w:line="288" w:lineRule="auto"/>
        <w:rPr>
          <w:rFonts w:ascii="Helvetica Neue" w:cs="Helvetica Neue" w:hAnsi="Helvetica Neue" w:eastAsia="Helvetica Neue"/>
        </w:rPr>
      </w:pPr>
      <w:r>
        <w:rPr>
          <w:rFonts w:ascii="Helvetica Neue" w:cs="Helvetica Neue" w:hAnsi="Helvetica Neue" w:eastAsia="Helvetica Neue"/>
        </w:rPr>
        <mc:AlternateContent>
          <mc:Choice Requires="wps">
            <w:drawing>
              <wp:anchor distT="152400" distB="152400" distL="152400" distR="152400" simplePos="0" relativeHeight="251664384" behindDoc="0" locked="0" layoutInCell="1" allowOverlap="1">
                <wp:simplePos x="0" y="0"/>
                <wp:positionH relativeFrom="margin">
                  <wp:posOffset>2702100</wp:posOffset>
                </wp:positionH>
                <wp:positionV relativeFrom="line">
                  <wp:posOffset>631419</wp:posOffset>
                </wp:positionV>
                <wp:extent cx="869659" cy="266761"/>
                <wp:effectExtent l="0" t="0" r="0" b="0"/>
                <wp:wrapNone/>
                <wp:docPr id="1073741830" name="officeArt object"/>
                <wp:cNvGraphicFramePr/>
                <a:graphic xmlns:a="http://schemas.openxmlformats.org/drawingml/2006/main">
                  <a:graphicData uri="http://schemas.microsoft.com/office/word/2010/wordprocessingShape">
                    <wps:wsp>
                      <wps:cNvSpPr/>
                      <wps:spPr>
                        <a:xfrm rot="16200000">
                          <a:off x="0" y="0"/>
                          <a:ext cx="869659" cy="266761"/>
                        </a:xfrm>
                        <a:prstGeom prst="rect">
                          <a:avLst/>
                        </a:prstGeom>
                        <a:noFill/>
                        <a:ln w="12700" cap="flat">
                          <a:noFill/>
                          <a:miter lim="400000"/>
                        </a:ln>
                        <a:effectLst/>
                      </wps:spPr>
                      <wps:txbx>
                        <w:txbxContent>
                          <w:p>
                            <w:pPr>
                              <w:pStyle w:val="Body"/>
                            </w:pPr>
                            <w:r>
                              <w:rPr>
                                <w:sz w:val="18"/>
                                <w:szCs w:val="18"/>
                                <w:rtl w:val="0"/>
                                <w:lang w:val="en-US"/>
                              </w:rPr>
                              <w:t>True-complex</w:t>
                            </w:r>
                          </w:p>
                        </w:txbxContent>
                      </wps:txbx>
                      <wps:bodyPr wrap="square" lIns="50800" tIns="50800" rIns="50800" bIns="50800" numCol="1" anchor="t">
                        <a:noAutofit/>
                      </wps:bodyPr>
                    </wps:wsp>
                  </a:graphicData>
                </a:graphic>
              </wp:anchor>
            </w:drawing>
          </mc:Choice>
          <mc:Fallback>
            <w:pict>
              <v:rect id="_x0000_s1030" style="visibility:visible;position:absolute;margin-left:212.8pt;margin-top:49.7pt;width:68.5pt;height:21.0pt;z-index:251664384;mso-position-horizontal:absolute;mso-position-horizontal-relative:margin;mso-position-vertical:absolute;mso-position-vertical-relative:lin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18"/>
                          <w:szCs w:val="18"/>
                          <w:rtl w:val="0"/>
                          <w:lang w:val="en-US"/>
                        </w:rPr>
                        <w:t>True-complex</w:t>
                      </w:r>
                    </w:p>
                  </w:txbxContent>
                </v:textbox>
                <w10:wrap type="none" side="bothSides" anchorx="margin"/>
              </v:rect>
            </w:pict>
          </mc:Fallback>
        </mc:AlternateContent>
      </w:r>
    </w:p>
    <w:p>
      <w:pPr>
        <w:pStyle w:val="Body"/>
        <w:spacing w:line="288" w:lineRule="auto"/>
        <w:rPr>
          <w:rFonts w:ascii="Helvetica Neue Medium" w:cs="Helvetica Neue Medium" w:hAnsi="Helvetica Neue Medium" w:eastAsia="Helvetica Neue Medium"/>
          <w:u w:val="single"/>
        </w:rPr>
      </w:pPr>
      <w:r>
        <w:rPr>
          <w:rFonts w:ascii="Helvetica Neue Medium"/>
          <w:u w:val="single"/>
          <w:rtl w:val="0"/>
          <w:lang w:val="en-US"/>
        </w:rPr>
        <w:t>Methods</w:t>
      </w:r>
    </w:p>
    <w:p>
      <w:pPr>
        <w:pStyle w:val="Body"/>
        <w:spacing w:line="96" w:lineRule="auto"/>
        <w:rPr>
          <w:rFonts w:ascii="Helvetica Neue Medium" w:cs="Helvetica Neue Medium" w:hAnsi="Helvetica Neue Medium" w:eastAsia="Helvetica Neue Medium"/>
          <w:u w:val="single"/>
        </w:rPr>
      </w:pPr>
    </w:p>
    <w:p>
      <w:pPr>
        <w:pStyle w:val="Body"/>
        <w:spacing w:line="288" w:lineRule="auto"/>
        <w:rPr>
          <w:rFonts w:ascii="Helvetica Neue" w:cs="Helvetica Neue" w:hAnsi="Helvetica Neue" w:eastAsia="Helvetica Neue"/>
        </w:rPr>
      </w:pPr>
      <w:r>
        <w:rPr>
          <w:rFonts w:ascii="Helvetica Neue"/>
          <w:rtl w:val="0"/>
          <w:lang w:val="en-US"/>
        </w:rPr>
        <w:t xml:space="preserve">Enzyme/inhibitor complexes will be taken from the Benchmark </w:t>
      </w:r>
      <w:r>
        <w:rPr>
          <w:rFonts w:ascii="Helvetica Neue"/>
          <w:rtl w:val="0"/>
          <w:lang w:val="en-US"/>
        </w:rPr>
        <w:t>5 (8), a lis</w:t>
      </w:r>
      <w:r>
        <w:rPr>
          <w:rFonts w:ascii="Helvetica Neue"/>
          <w:rtl w:val="0"/>
          <w:lang w:val="en-US"/>
        </w:rPr>
        <w:t>t of PDB files commonly used to test molecular docking software, curated at the Massachusetts Institute of Technology. PDB files are lists of every primary, secondary, tertiary, and quaternary structure in a protein or protein-complex, presented as a list of atomic coordinates. Figure 1 shows the process for how the PDB files will be used by the</w:t>
      </w:r>
      <w:r>
        <w:rPr>
          <w:rFonts w:ascii="Helvetica Neue" w:cs="Helvetica Neue" w:hAnsi="Helvetica Neue" w:eastAsia="Helvetica Neue"/>
        </w:rPr>
        <mc:AlternateContent>
          <mc:Choice Requires="wps">
            <w:drawing>
              <wp:anchor distT="152400" distB="152400" distL="152400" distR="152400" simplePos="0" relativeHeight="251659264" behindDoc="0" locked="0" layoutInCell="1" allowOverlap="1">
                <wp:simplePos x="0" y="0"/>
                <wp:positionH relativeFrom="margin">
                  <wp:posOffset>2962275</wp:posOffset>
                </wp:positionH>
                <wp:positionV relativeFrom="line">
                  <wp:posOffset>191606</wp:posOffset>
                </wp:positionV>
                <wp:extent cx="2952115" cy="2811488"/>
                <wp:effectExtent l="0" t="0" r="0" b="0"/>
                <wp:wrapThrough wrapText="bothSides" distL="152400" distR="152400">
                  <wp:wrapPolygon edited="1">
                    <wp:start x="0" y="0"/>
                    <wp:lineTo x="0" y="21600"/>
                    <wp:lineTo x="21599" y="21600"/>
                    <wp:lineTo x="21599"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2952115" cy="2811488"/>
                        </a:xfrm>
                        <a:prstGeom prst="rect">
                          <a:avLst/>
                        </a:prstGeom>
                        <a:noFill/>
                        <a:ln w="12700" cap="flat">
                          <a:noFill/>
                          <a:miter lim="400000"/>
                        </a:ln>
                        <a:effectLst/>
                      </wps:spPr>
                      <wps:txbx>
                        <w:txbxContent>
                          <w:p>
                            <w:pPr>
                              <w:pStyle w:val="Body"/>
                              <w:rPr>
                                <w:b w:val="1"/>
                                <w:bCs w:val="1"/>
                              </w:rPr>
                            </w:pPr>
                            <w:r>
                              <w:rPr>
                                <w:b w:val="1"/>
                                <w:bCs w:val="1"/>
                                <w:rtl w:val="0"/>
                                <w:lang w:val="en-US"/>
                              </w:rPr>
                              <w:t>Figure 1. Use of Benchmark 5 PDB files</w:t>
                            </w:r>
                          </w:p>
                          <w:p>
                            <w:pPr>
                              <w:pStyle w:val="Body"/>
                              <w:rPr>
                                <w:sz w:val="20"/>
                                <w:szCs w:val="20"/>
                              </w:rPr>
                            </w:pPr>
                            <w:r>
                              <w:rPr>
                                <w:sz w:val="20"/>
                                <w:szCs w:val="20"/>
                                <w:rtl w:val="0"/>
                                <w:lang w:val="en-US"/>
                              </w:rPr>
                              <w:t xml:space="preserve">The first PDB file is the true experimentally discovered complex. The second and third are the constituents of the true complex, discovered through separate experiments. The true-complex is computationally split into the constituents, thus in the end there are two copies of the complex constituents ready for processing. The </w:t>
                            </w:r>
                            <w:r>
                              <w:rPr>
                                <w:rFonts w:hAnsi="Helvetica" w:hint="default"/>
                                <w:sz w:val="20"/>
                                <w:szCs w:val="20"/>
                                <w:rtl w:val="0"/>
                                <w:lang w:val="en-US"/>
                              </w:rPr>
                              <w:t>“</w:t>
                            </w:r>
                            <w:r>
                              <w:rPr>
                                <w:sz w:val="20"/>
                                <w:szCs w:val="20"/>
                                <w:rtl w:val="0"/>
                                <w:lang w:val="en-US"/>
                              </w:rPr>
                              <w:t>bound</w:t>
                            </w:r>
                            <w:r>
                              <w:rPr>
                                <w:rFonts w:hAnsi="Helvetica" w:hint="default"/>
                                <w:sz w:val="20"/>
                                <w:szCs w:val="20"/>
                                <w:rtl w:val="0"/>
                                <w:lang w:val="en-US"/>
                              </w:rPr>
                              <w:t xml:space="preserve">” </w:t>
                            </w:r>
                            <w:r>
                              <w:rPr>
                                <w:sz w:val="20"/>
                                <w:szCs w:val="20"/>
                                <w:rtl w:val="0"/>
                                <w:lang w:val="en-US"/>
                              </w:rPr>
                              <w:t>ones contain important conformational changes, and the unbound ones don</w:t>
                            </w:r>
                            <w:r>
                              <w:rPr>
                                <w:rFonts w:hAnsi="Helvetica" w:hint="default"/>
                                <w:sz w:val="20"/>
                                <w:szCs w:val="20"/>
                                <w:rtl w:val="0"/>
                                <w:lang w:val="en-US"/>
                              </w:rPr>
                              <w:t>’</w:t>
                            </w:r>
                            <w:r>
                              <w:rPr>
                                <w:sz w:val="20"/>
                                <w:szCs w:val="20"/>
                                <w:rtl w:val="0"/>
                                <w:lang w:val="en-US"/>
                              </w:rPr>
                              <w:t>t.</w:t>
                            </w:r>
                          </w:p>
                          <w:p>
                            <w:pPr>
                              <w:pStyle w:val="Body"/>
                            </w:pPr>
                            <w:r>
                              <w:rPr>
                                <w:sz w:val="20"/>
                                <w:szCs w:val="20"/>
                                <w:rtl w:val="0"/>
                                <w:lang w:val="en-US"/>
                              </w:rPr>
                              <w:t>Conformational changes are small alterations that happen in atomic structure when two molecules bind. This is due to repulsive and attractive forces in the atomic structure.</w:t>
                            </w:r>
                          </w:p>
                        </w:txbxContent>
                      </wps:txbx>
                      <wps:bodyPr wrap="square" lIns="50800" tIns="50800" rIns="50800" bIns="50800" numCol="1" anchor="t">
                        <a:noAutofit/>
                      </wps:bodyPr>
                    </wps:wsp>
                  </a:graphicData>
                </a:graphic>
              </wp:anchor>
            </w:drawing>
          </mc:Choice>
          <mc:Fallback>
            <w:pict>
              <v:rect id="_x0000_s1031" style="visibility:visible;position:absolute;margin-left:233.2pt;margin-top:15.1pt;width:232.4pt;height:221.4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rPr>
                      </w:pPr>
                      <w:r>
                        <w:rPr>
                          <w:b w:val="1"/>
                          <w:bCs w:val="1"/>
                          <w:rtl w:val="0"/>
                          <w:lang w:val="en-US"/>
                        </w:rPr>
                        <w:t>Figure 1. Use of Benchmark 5 PDB files</w:t>
                      </w:r>
                    </w:p>
                    <w:p>
                      <w:pPr>
                        <w:pStyle w:val="Body"/>
                        <w:rPr>
                          <w:sz w:val="20"/>
                          <w:szCs w:val="20"/>
                        </w:rPr>
                      </w:pPr>
                      <w:r>
                        <w:rPr>
                          <w:sz w:val="20"/>
                          <w:szCs w:val="20"/>
                          <w:rtl w:val="0"/>
                          <w:lang w:val="en-US"/>
                        </w:rPr>
                        <w:t xml:space="preserve">The first PDB file is the true experimentally discovered complex. The second and third are the constituents of the true complex, discovered through separate experiments. The true-complex is computationally split into the constituents, thus in the end there are two copies of the complex constituents ready for processing. The </w:t>
                      </w:r>
                      <w:r>
                        <w:rPr>
                          <w:rFonts w:hAnsi="Helvetica" w:hint="default"/>
                          <w:sz w:val="20"/>
                          <w:szCs w:val="20"/>
                          <w:rtl w:val="0"/>
                          <w:lang w:val="en-US"/>
                        </w:rPr>
                        <w:t>“</w:t>
                      </w:r>
                      <w:r>
                        <w:rPr>
                          <w:sz w:val="20"/>
                          <w:szCs w:val="20"/>
                          <w:rtl w:val="0"/>
                          <w:lang w:val="en-US"/>
                        </w:rPr>
                        <w:t>bound</w:t>
                      </w:r>
                      <w:r>
                        <w:rPr>
                          <w:rFonts w:hAnsi="Helvetica" w:hint="default"/>
                          <w:sz w:val="20"/>
                          <w:szCs w:val="20"/>
                          <w:rtl w:val="0"/>
                          <w:lang w:val="en-US"/>
                        </w:rPr>
                        <w:t xml:space="preserve">” </w:t>
                      </w:r>
                      <w:r>
                        <w:rPr>
                          <w:sz w:val="20"/>
                          <w:szCs w:val="20"/>
                          <w:rtl w:val="0"/>
                          <w:lang w:val="en-US"/>
                        </w:rPr>
                        <w:t>ones contain important conformational changes, and the unbound ones don</w:t>
                      </w:r>
                      <w:r>
                        <w:rPr>
                          <w:rFonts w:hAnsi="Helvetica" w:hint="default"/>
                          <w:sz w:val="20"/>
                          <w:szCs w:val="20"/>
                          <w:rtl w:val="0"/>
                          <w:lang w:val="en-US"/>
                        </w:rPr>
                        <w:t>’</w:t>
                      </w:r>
                      <w:r>
                        <w:rPr>
                          <w:sz w:val="20"/>
                          <w:szCs w:val="20"/>
                          <w:rtl w:val="0"/>
                          <w:lang w:val="en-US"/>
                        </w:rPr>
                        <w:t>t.</w:t>
                      </w:r>
                    </w:p>
                    <w:p>
                      <w:pPr>
                        <w:pStyle w:val="Body"/>
                      </w:pPr>
                      <w:r>
                        <w:rPr>
                          <w:sz w:val="20"/>
                          <w:szCs w:val="20"/>
                          <w:rtl w:val="0"/>
                          <w:lang w:val="en-US"/>
                        </w:rPr>
                        <w:t>Conformational changes are small alterations that happen in atomic structure when two molecules bind. This is due to repulsive and attractive forces in the atomic structure.</w:t>
                      </w:r>
                    </w:p>
                  </w:txbxContent>
                </v:textbox>
                <w10:wrap type="through" side="bothSides" anchorx="margin"/>
              </v:rect>
            </w:pict>
          </mc:Fallback>
        </mc:AlternateContent>
      </w:r>
      <w:r>
        <w:rPr>
          <w:rFonts w:ascii="Helvetica Neue"/>
          <w:rtl w:val="0"/>
          <w:lang w:val="en-US"/>
        </w:rPr>
        <w:t xml:space="preserve"> software and explains the significance of the bound/unbound terminology. As of now, there are 46 enzyme/inhibitor complexes on the Benchmark 5, thus 46 will be used for the experiment (shown in table 5 at the end of this document).</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Those 46 bound and unbound complexes will be processed through an initial 3D shape-complementarity software called FTDock (9), to produce a large list of possible docked complexes. That large list will be culled through a ligand root mean square deviation (L_RMSD) comparison to the true-complex. The L_RMSD comparison is an overlapping of the simulated complex and the true-complex, wherein atomic coordinates are compared in angstroms. Thus, the higher an L_RMSD value is, the more distant the atomic compositions of the molecules are, and the lower it is, the more similar (and closer to the true-complex) they are. After doing this to the large list of complexes, only the top 20 with the lowest L_RMSD score will be selected for each of the 46 complexes (producing a list of 920 complexes)</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 xml:space="preserve">Next, all 920 of the complexes will be processed through the modified hint algorithm. Each of the 5 variables </w:t>
      </w:r>
      <w:r>
        <w:rPr>
          <w:rFonts w:ascii="Georgia"/>
          <w:i w:val="1"/>
          <w:iCs w:val="1"/>
          <w:rtl w:val="0"/>
          <w:lang w:val="en-US"/>
        </w:rPr>
        <w:t xml:space="preserve">a, S, T, R, </w:t>
      </w:r>
      <w:r>
        <w:rPr>
          <w:rFonts w:ascii="Helvetica Neue"/>
          <w:i w:val="1"/>
          <w:iCs w:val="1"/>
          <w:rtl w:val="0"/>
          <w:lang w:val="en-US"/>
        </w:rPr>
        <w:t>and</w:t>
      </w:r>
      <w:r>
        <w:rPr>
          <w:rFonts w:ascii="Georgia"/>
          <w:i w:val="1"/>
          <w:iCs w:val="1"/>
          <w:rtl w:val="0"/>
          <w:lang w:val="en-US"/>
        </w:rPr>
        <w:t xml:space="preserve"> r </w:t>
      </w:r>
      <w:r>
        <w:rPr>
          <w:rFonts w:ascii="Helvetica Neue"/>
          <w:rtl w:val="0"/>
          <w:lang w:val="en-US"/>
        </w:rPr>
        <w:t xml:space="preserve">will be exponentiated at either 0, 0.5, 1, 1.5, or 2, thus 25 tests will be conducted for each of the 920 complexes. Exponentiation by 1 will serve as the control. </w:t>
      </w: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The output of the HINT algorithm will produce 23,000 HINT affinity scores. The highest 200 of those scores and their corresponding simulated complexes will be processed through a second L_RMSD comparison to the true-complex, and the lowest scores from that test will reveal which weights produced the most favorable simulated complex. Thus, a conclusion could be made about which chemical properties, and what proportion of those properties are important to the simulated binding of enzyme/inhibitor complexes.</w:t>
      </w:r>
    </w:p>
    <w:p>
      <w:pPr>
        <w:pStyle w:val="Body"/>
        <w:spacing w:line="288" w:lineRule="auto"/>
        <w:rPr>
          <w:rFonts w:ascii="Helvetica Neue" w:cs="Helvetica Neue" w:hAnsi="Helvetica Neue" w:eastAsia="Helvetica Neue"/>
        </w:rPr>
      </w:pPr>
    </w:p>
    <w:p>
      <w:pPr>
        <w:pStyle w:val="Body"/>
        <w:spacing w:line="288" w:lineRule="auto"/>
        <w:rPr>
          <w:rFonts w:ascii="Helvetica Neue Medium" w:cs="Helvetica Neue Medium" w:hAnsi="Helvetica Neue Medium" w:eastAsia="Helvetica Neue Medium"/>
          <w:u w:val="single"/>
        </w:rPr>
      </w:pPr>
      <w:r>
        <w:rPr>
          <w:rFonts w:ascii="Helvetica Neue Medium"/>
          <w:u w:val="single"/>
          <w:rtl w:val="0"/>
          <w:lang w:val="en-US"/>
        </w:rPr>
        <w:t>Possible Results</w:t>
      </w:r>
    </w:p>
    <w:p>
      <w:pPr>
        <w:pStyle w:val="Body"/>
        <w:spacing w:line="288" w:lineRule="auto"/>
        <w:rPr>
          <w:rFonts w:ascii="Helvetica Neue" w:cs="Helvetica Neue" w:hAnsi="Helvetica Neue" w:eastAsia="Helvetica Neue"/>
        </w:rPr>
      </w:pPr>
    </w:p>
    <w:p>
      <w:pPr>
        <w:pStyle w:val="Body"/>
        <w:spacing w:line="288" w:lineRule="auto"/>
        <w:jc w:val="center"/>
        <w:rPr>
          <w:rFonts w:ascii="Helvetica Neue" w:cs="Helvetica Neue" w:hAnsi="Helvetica Neue" w:eastAsia="Helvetica Neue"/>
          <w:b w:val="1"/>
          <w:bCs w:val="1"/>
        </w:rPr>
      </w:pPr>
      <w:r>
        <w:rPr>
          <w:rFonts w:ascii="Helvetica Neue"/>
          <w:b w:val="1"/>
          <w:bCs w:val="1"/>
          <w:rtl w:val="0"/>
          <w:lang w:val="en-US"/>
        </w:rPr>
        <w:t>Table 2</w:t>
      </w:r>
    </w:p>
    <w:p>
      <w:pPr>
        <w:pStyle w:val="Body"/>
        <w:spacing w:line="288" w:lineRule="auto"/>
        <w:jc w:val="center"/>
        <w:rPr>
          <w:rFonts w:ascii="Helvetica Neue" w:cs="Helvetica Neue" w:hAnsi="Helvetica Neue" w:eastAsia="Helvetica Neue"/>
          <w:i w:val="1"/>
          <w:iCs w:val="1"/>
        </w:rPr>
      </w:pPr>
      <w:r>
        <w:rPr>
          <w:rFonts w:ascii="Helvetica Neue"/>
          <w:i w:val="1"/>
          <w:iCs w:val="1"/>
          <w:rtl w:val="0"/>
          <w:lang w:val="en-US"/>
        </w:rPr>
        <w:t>Possible Results Indicating Importance of Surface Accessible Surface Area amplified by 1.5</w:t>
      </w:r>
    </w:p>
    <w:p>
      <w:pPr>
        <w:pStyle w:val="Body"/>
        <w:spacing w:line="120" w:lineRule="auto"/>
        <w:jc w:val="center"/>
        <w:rPr>
          <w:rFonts w:ascii="Helvetica Neue" w:cs="Helvetica Neue" w:hAnsi="Helvetica Neue" w:eastAsia="Helvetica Neue"/>
          <w:i w:val="1"/>
          <w:iCs w:val="1"/>
        </w:rPr>
      </w:pPr>
    </w:p>
    <w:tbl>
      <w:tblPr>
        <w:tblW w:w="91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39"/>
        <w:gridCol w:w="2323"/>
        <w:gridCol w:w="2167"/>
        <w:gridCol w:w="3125"/>
      </w:tblGrid>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Complex</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Final L_RMSD Score</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Weighing Used</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Significant Chemical Property</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#1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 xml:space="preserve">1.5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#1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2</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#2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lang w:val="en-US"/>
              </w:rPr>
              <w:t>+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Distance</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#2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lang w:val="en-US"/>
              </w:rPr>
              <w:t>(</w:t>
            </w: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sz w:val="18"/>
                <w:szCs w:val="18"/>
                <w:rtl w:val="0"/>
              </w:rPr>
              <w:t>Atomic Contact Energy</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#3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3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#3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5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0</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hAnsi="Helvetica" w:hint="default"/>
                <w:b w:val="1"/>
                <w:bCs w:val="1"/>
                <w:rtl w:val="0"/>
              </w:rPr>
              <w:t>…</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rtl w:val="0"/>
              </w:rPr>
              <w:t>…</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#46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#46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lang w:val="en-US"/>
              </w:rPr>
              <w:t>(</w:t>
            </w: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Contact Energy</w:t>
            </w:r>
          </w:p>
        </w:tc>
      </w:tr>
    </w:tbl>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Table 2 indicates the importance of solvent accessible surface area (SASA) since it appears three times in the sample results, and all three times it shows a 1.5 exponent on the SASA variable.</w:t>
      </w:r>
    </w:p>
    <w:p>
      <w:pPr>
        <w:pStyle w:val="Body"/>
        <w:spacing w:line="288" w:lineRule="auto"/>
        <w:jc w:val="center"/>
        <w:rPr>
          <w:rFonts w:ascii="Helvetica Neue" w:cs="Helvetica Neue" w:hAnsi="Helvetica Neue" w:eastAsia="Helvetica Neue"/>
          <w:b w:val="1"/>
          <w:bCs w:val="1"/>
        </w:rPr>
      </w:pPr>
    </w:p>
    <w:p>
      <w:pPr>
        <w:pStyle w:val="Body"/>
        <w:spacing w:line="288" w:lineRule="auto"/>
        <w:jc w:val="center"/>
        <w:rPr>
          <w:rFonts w:ascii="Helvetica Neue" w:cs="Helvetica Neue" w:hAnsi="Helvetica Neue" w:eastAsia="Helvetica Neue"/>
          <w:b w:val="1"/>
          <w:bCs w:val="1"/>
        </w:rPr>
      </w:pPr>
    </w:p>
    <w:p>
      <w:pPr>
        <w:pStyle w:val="Body"/>
        <w:spacing w:line="288" w:lineRule="auto"/>
        <w:jc w:val="center"/>
        <w:rPr>
          <w:rFonts w:ascii="Helvetica Neue" w:cs="Helvetica Neue" w:hAnsi="Helvetica Neue" w:eastAsia="Helvetica Neue"/>
          <w:b w:val="1"/>
          <w:bCs w:val="1"/>
        </w:rPr>
      </w:pPr>
    </w:p>
    <w:p>
      <w:pPr>
        <w:pStyle w:val="Body"/>
        <w:spacing w:line="288" w:lineRule="auto"/>
        <w:jc w:val="center"/>
        <w:rPr>
          <w:rFonts w:ascii="Helvetica Neue" w:cs="Helvetica Neue" w:hAnsi="Helvetica Neue" w:eastAsia="Helvetica Neue"/>
          <w:b w:val="1"/>
          <w:bCs w:val="1"/>
        </w:rPr>
      </w:pPr>
    </w:p>
    <w:p>
      <w:pPr>
        <w:pStyle w:val="Body"/>
        <w:spacing w:line="288" w:lineRule="auto"/>
        <w:jc w:val="center"/>
        <w:rPr>
          <w:rFonts w:ascii="Helvetica Neue" w:cs="Helvetica Neue" w:hAnsi="Helvetica Neue" w:eastAsia="Helvetica Neue"/>
          <w:b w:val="1"/>
          <w:bCs w:val="1"/>
        </w:rPr>
      </w:pPr>
      <w:r>
        <w:rPr>
          <w:rFonts w:ascii="Helvetica Neue"/>
          <w:b w:val="1"/>
          <w:bCs w:val="1"/>
          <w:rtl w:val="0"/>
          <w:lang w:val="en-US"/>
        </w:rPr>
        <w:t>Table 3</w:t>
      </w:r>
    </w:p>
    <w:p>
      <w:pPr>
        <w:pStyle w:val="Body"/>
        <w:spacing w:line="288" w:lineRule="auto"/>
        <w:jc w:val="center"/>
        <w:rPr>
          <w:rFonts w:ascii="Helvetica Neue" w:cs="Helvetica Neue" w:hAnsi="Helvetica Neue" w:eastAsia="Helvetica Neue"/>
          <w:i w:val="1"/>
          <w:iCs w:val="1"/>
        </w:rPr>
      </w:pPr>
      <w:r>
        <w:rPr>
          <w:rFonts w:ascii="Helvetica Neue"/>
          <w:i w:val="1"/>
          <w:iCs w:val="1"/>
          <w:rtl w:val="0"/>
          <w:lang w:val="en-US"/>
        </w:rPr>
        <w:t>Alternative Results Showing Importance of Electrostatics</w:t>
      </w:r>
    </w:p>
    <w:p>
      <w:pPr>
        <w:pStyle w:val="Body"/>
        <w:spacing w:line="96" w:lineRule="auto"/>
        <w:rPr>
          <w:rFonts w:ascii="Helvetica Neue" w:cs="Helvetica Neue" w:hAnsi="Helvetica Neue" w:eastAsia="Helvetica Neue"/>
        </w:rPr>
      </w:pPr>
    </w:p>
    <w:tbl>
      <w:tblPr>
        <w:tblW w:w="91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39"/>
        <w:gridCol w:w="2323"/>
        <w:gridCol w:w="2167"/>
        <w:gridCol w:w="3125"/>
      </w:tblGrid>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Complex</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Final L_RMSD Score</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Weighing Used</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Significant Chemical Property</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#1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 xml:space="preserve">1.5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#1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2</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#2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lang w:val="en-US"/>
              </w:rPr>
              <w:t>+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Distance</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#2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#3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3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#3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5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hAnsi="Helvetica" w:hint="default"/>
                <w:b w:val="1"/>
                <w:bCs w:val="1"/>
                <w:rtl w:val="0"/>
              </w:rPr>
              <w:t>…</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rtl w:val="0"/>
              </w:rPr>
              <w:t>…</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#46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2</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6dc037"/>
            <w:tcMar>
              <w:top w:type="dxa" w:w="80"/>
              <w:left w:type="dxa" w:w="80"/>
              <w:bottom w:type="dxa" w:w="80"/>
              <w:right w:type="dxa" w:w="80"/>
            </w:tcMar>
            <w:vAlign w:val="top"/>
          </w:tcPr>
          <w:p>
            <w:pPr>
              <w:pStyle w:val="Table Style 2"/>
              <w:jc w:val="center"/>
            </w:pPr>
            <w:r>
              <w:rPr>
                <w:rFonts w:ascii="Helvetica"/>
                <w:b w:val="1"/>
                <w:bCs w:val="1"/>
                <w:color w:val="fefefe"/>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#46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lang w:val="en-US"/>
              </w:rPr>
              <w:t>(</w:t>
            </w: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Contact Energy</w:t>
            </w:r>
          </w:p>
        </w:tc>
      </w:tr>
    </w:tbl>
    <w:p>
      <w:pPr>
        <w:pStyle w:val="Body"/>
        <w:spacing w:line="216"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p>
    <w:p>
      <w:pPr>
        <w:pStyle w:val="Body"/>
        <w:spacing w:line="288" w:lineRule="auto"/>
        <w:rPr>
          <w:rFonts w:ascii="Helvetica Neue" w:cs="Helvetica Neue" w:hAnsi="Helvetica Neue" w:eastAsia="Helvetica Neue"/>
        </w:rPr>
      </w:pPr>
      <w:r>
        <w:rPr>
          <w:rFonts w:ascii="Helvetica Neue"/>
          <w:rtl w:val="0"/>
          <w:lang w:val="en-US"/>
        </w:rPr>
        <w:t>The following shows the importance of Electrostatics since there are 4 instances in which is produced a favorable L_RMSD score. In this case the exponents were 2, 0.5, 1.5, 1.5, and 2. There is no clear number that is most favorable, but one could conclude that an increase in the weight of electrostatics is important to enzyme/inhibitor binding.</w:t>
      </w:r>
    </w:p>
    <w:p>
      <w:pPr>
        <w:pStyle w:val="Body"/>
        <w:spacing w:line="288" w:lineRule="auto"/>
        <w:rPr>
          <w:rFonts w:ascii="Helvetica Neue" w:cs="Helvetica Neue" w:hAnsi="Helvetica Neue" w:eastAsia="Helvetica Neue"/>
        </w:rPr>
      </w:pPr>
    </w:p>
    <w:p>
      <w:pPr>
        <w:pStyle w:val="Body"/>
        <w:spacing w:line="288" w:lineRule="auto"/>
        <w:jc w:val="center"/>
        <w:rPr>
          <w:rFonts w:ascii="Helvetica Neue" w:cs="Helvetica Neue" w:hAnsi="Helvetica Neue" w:eastAsia="Helvetica Neue"/>
          <w:b w:val="1"/>
          <w:bCs w:val="1"/>
        </w:rPr>
      </w:pPr>
      <w:r>
        <w:rPr>
          <w:rFonts w:ascii="Helvetica Neue"/>
          <w:b w:val="1"/>
          <w:bCs w:val="1"/>
          <w:rtl w:val="0"/>
          <w:lang w:val="en-US"/>
        </w:rPr>
        <w:t>Table 4</w:t>
      </w:r>
    </w:p>
    <w:p>
      <w:pPr>
        <w:pStyle w:val="Body"/>
        <w:spacing w:line="288" w:lineRule="auto"/>
        <w:jc w:val="center"/>
        <w:rPr>
          <w:rFonts w:ascii="Helvetica Neue" w:cs="Helvetica Neue" w:hAnsi="Helvetica Neue" w:eastAsia="Helvetica Neue"/>
          <w:i w:val="1"/>
          <w:iCs w:val="1"/>
        </w:rPr>
      </w:pPr>
      <w:r>
        <w:rPr>
          <w:rFonts w:ascii="Helvetica Neue"/>
          <w:i w:val="1"/>
          <w:iCs w:val="1"/>
          <w:rtl w:val="0"/>
          <w:lang w:val="en-US"/>
        </w:rPr>
        <w:t>Results In Which No Clear Conclusion Can Be Reached</w:t>
      </w:r>
    </w:p>
    <w:p>
      <w:pPr>
        <w:pStyle w:val="Body"/>
        <w:spacing w:line="96" w:lineRule="auto"/>
        <w:jc w:val="center"/>
        <w:rPr>
          <w:rFonts w:ascii="Helvetica Neue" w:cs="Helvetica Neue" w:hAnsi="Helvetica Neue" w:eastAsia="Helvetica Neue"/>
          <w:i w:val="1"/>
          <w:iCs w:val="1"/>
        </w:rPr>
      </w:pPr>
    </w:p>
    <w:tbl>
      <w:tblPr>
        <w:tblW w:w="91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39"/>
        <w:gridCol w:w="2323"/>
        <w:gridCol w:w="2167"/>
        <w:gridCol w:w="3125"/>
      </w:tblGrid>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Complex</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Final L_RMSD Score</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Weighing Used</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Neue"/>
                <w:b w:val="1"/>
                <w:bCs w:val="1"/>
                <w:rtl w:val="0"/>
              </w:rPr>
              <w:t>Significant Chemical Property</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#1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 xml:space="preserve">1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#1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2</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jc w:val="center"/>
            </w:pPr>
            <w:r>
              <w:rPr>
                <w:rFonts w:ascii="Helvetica"/>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#2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lang w:val="en-US"/>
              </w:rPr>
              <w:t>+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Distance</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#2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4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jc w:val="center"/>
            </w:pPr>
            <w:r>
              <w:rPr>
                <w:rFonts w:ascii="Helvetica"/>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#3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3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1.5</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#3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5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rPr>
              <w:t>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jc w:val="center"/>
            </w:pPr>
            <w:r>
              <w:rPr>
                <w:rFonts w:ascii="Helvetica"/>
                <w:sz w:val="18"/>
                <w:szCs w:val="18"/>
                <w:rtl w:val="0"/>
              </w:rPr>
              <w:t>Electrostatics</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hAnsi="Helvetica" w:hint="default"/>
                <w:b w:val="1"/>
                <w:bCs w:val="1"/>
                <w:rtl w:val="0"/>
              </w:rPr>
              <w:t>…</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rtl w:val="0"/>
              </w:rPr>
              <w:t>…</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hAnsi="Helvetica" w:hint="default"/>
                <w:sz w:val="18"/>
                <w:szCs w:val="18"/>
                <w:rtl w:val="0"/>
              </w:rPr>
              <w:t>…</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#46 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rtl w:val="0"/>
              </w:rPr>
              <w:t xml:space="preserve">2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center"/>
            </w:pP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rPr>
              <w:t xml:space="preserve"> </w:t>
            </w:r>
            <w:r>
              <w:rPr>
                <w:rFonts w:ascii="Georgia"/>
                <w:i w:val="1"/>
                <w:iCs w:val="1"/>
                <w:sz w:val="18"/>
                <w:szCs w:val="18"/>
                <w:rtl w:val="0"/>
                <w:lang w:val="en-US"/>
              </w:rPr>
              <w:t>(</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0</w:t>
            </w:r>
            <w:r>
              <w:rPr>
                <w:rFonts w:ascii="Georgia"/>
                <w:i w:val="1"/>
                <w:iCs w:val="1"/>
                <w:sz w:val="18"/>
                <w:szCs w:val="18"/>
                <w:rtl w:val="0"/>
                <w:lang w:val="en-US"/>
              </w:rPr>
              <w:t xml:space="preserve"> </w:t>
            </w:r>
            <w:r>
              <w:rPr>
                <w:rFonts w:ascii="Georgia"/>
                <w:i w:val="1"/>
                <w:iCs w:val="1"/>
                <w:sz w:val="18"/>
                <w:szCs w:val="18"/>
                <w:rtl w:val="0"/>
              </w:rPr>
              <w:t>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sz w:val="18"/>
                <w:szCs w:val="18"/>
                <w:rtl w:val="0"/>
              </w:rPr>
              <w:t>Solvent Accessible Surface Area</w:t>
            </w:r>
          </w:p>
        </w:tc>
      </w:tr>
      <w:tr>
        <w:tblPrEx>
          <w:shd w:val="clear" w:color="auto" w:fill="auto"/>
        </w:tblPrEx>
        <w:trPr>
          <w:trHeight w:val="279" w:hRule="atLeast"/>
        </w:trPr>
        <w:tc>
          <w:tcPr>
            <w:tcW w:type="dxa" w:w="153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Helvetica"/>
                <w:b w:val="1"/>
                <w:bCs w:val="1"/>
                <w:rtl w:val="0"/>
              </w:rPr>
              <w:t>#46 Unbound</w:t>
            </w:r>
          </w:p>
        </w:tc>
        <w:tc>
          <w:tcPr>
            <w:tcW w:type="dxa" w:w="23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 xml:space="preserve">6 </w:t>
            </w:r>
            <w:r>
              <w:rPr>
                <w:rFonts w:hAnsi="Helvetica" w:hint="default"/>
                <w:rtl w:val="0"/>
              </w:rPr>
              <w:t>Å</w:t>
            </w:r>
          </w:p>
        </w:tc>
        <w:tc>
          <w:tcPr>
            <w:tcW w:type="dxa" w:w="216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Body"/>
              <w:jc w:val="center"/>
            </w:pPr>
            <w:r>
              <w:rPr>
                <w:rFonts w:ascii="Georgia"/>
                <w:i w:val="1"/>
                <w:iCs w:val="1"/>
                <w:sz w:val="18"/>
                <w:szCs w:val="18"/>
                <w:rtl w:val="0"/>
                <w:lang w:val="en-US"/>
              </w:rPr>
              <w:t>(</w:t>
            </w:r>
            <w:r>
              <w:rPr>
                <w:rFonts w:ascii="Georgia"/>
                <w:i w:val="1"/>
                <w:iCs w:val="1"/>
                <w:sz w:val="18"/>
                <w:szCs w:val="18"/>
                <w:rtl w:val="0"/>
              </w:rPr>
              <w:t>a</w:t>
            </w:r>
            <w:r>
              <w:rPr>
                <w:rFonts w:ascii="Georgia"/>
                <w:i w:val="1"/>
                <w:iCs w:val="1"/>
                <w:sz w:val="18"/>
                <w:szCs w:val="18"/>
                <w:vertAlign w:val="subscript"/>
                <w:rtl w:val="0"/>
              </w:rPr>
              <w:t xml:space="preserve">i </w:t>
            </w:r>
            <w:r>
              <w:rPr>
                <w:rFonts w:ascii="Georgia"/>
                <w:i w:val="1"/>
                <w:iCs w:val="1"/>
                <w:sz w:val="18"/>
                <w:szCs w:val="18"/>
                <w:rtl w:val="0"/>
              </w:rPr>
              <w:t>a</w:t>
            </w:r>
            <w:r>
              <w:rPr>
                <w:rFonts w:ascii="Georgia"/>
                <w:i w:val="1"/>
                <w:iCs w:val="1"/>
                <w:sz w:val="18"/>
                <w:szCs w:val="18"/>
                <w:vertAlign w:val="subscript"/>
                <w:rtl w:val="0"/>
              </w:rPr>
              <w:t>j</w:t>
            </w:r>
            <w:r>
              <w:rPr>
                <w:rFonts w:ascii="Georgia"/>
                <w:i w:val="1"/>
                <w:iCs w:val="1"/>
                <w:sz w:val="18"/>
                <w:szCs w:val="18"/>
                <w:rtl w:val="0"/>
                <w:lang w:val="en-US"/>
              </w:rPr>
              <w:t>)</w:t>
            </w:r>
            <w:r>
              <w:rPr>
                <w:rFonts w:ascii="Georgia"/>
                <w:i w:val="1"/>
                <w:iCs w:val="1"/>
                <w:sz w:val="18"/>
                <w:szCs w:val="18"/>
                <w:vertAlign w:val="superscript"/>
                <w:rtl w:val="0"/>
                <w:lang w:val="en-US"/>
              </w:rPr>
              <w:t>0.5</w:t>
            </w:r>
            <w:r>
              <w:rPr>
                <w:rFonts w:ascii="Georgia"/>
                <w:i w:val="1"/>
                <w:iCs w:val="1"/>
                <w:sz w:val="18"/>
                <w:szCs w:val="18"/>
                <w:rtl w:val="0"/>
                <w:lang w:val="en-US"/>
              </w:rPr>
              <w:t xml:space="preserve"> </w:t>
            </w:r>
            <w:r>
              <w:rPr>
                <w:rFonts w:ascii="Georgia"/>
                <w:i w:val="1"/>
                <w:iCs w:val="1"/>
                <w:sz w:val="18"/>
                <w:szCs w:val="18"/>
                <w:rtl w:val="0"/>
              </w:rPr>
              <w:t>S</w:t>
            </w:r>
            <w:r>
              <w:rPr>
                <w:rFonts w:ascii="Georgia"/>
                <w:i w:val="1"/>
                <w:iCs w:val="1"/>
                <w:sz w:val="18"/>
                <w:szCs w:val="18"/>
                <w:vertAlign w:val="subscript"/>
                <w:rtl w:val="0"/>
              </w:rPr>
              <w:t xml:space="preserve">i </w:t>
            </w:r>
            <w:r>
              <w:rPr>
                <w:rFonts w:ascii="Georgia"/>
                <w:i w:val="1"/>
                <w:iCs w:val="1"/>
                <w:sz w:val="18"/>
                <w:szCs w:val="18"/>
                <w:rtl w:val="0"/>
              </w:rPr>
              <w:t>S</w:t>
            </w:r>
            <w:r>
              <w:rPr>
                <w:rFonts w:ascii="Georgia"/>
                <w:i w:val="1"/>
                <w:iCs w:val="1"/>
                <w:sz w:val="18"/>
                <w:szCs w:val="18"/>
                <w:vertAlign w:val="subscript"/>
                <w:rtl w:val="0"/>
              </w:rPr>
              <w:t>j</w:t>
            </w:r>
            <w:r>
              <w:rPr>
                <w:rFonts w:ascii="Georgia"/>
                <w:i w:val="1"/>
                <w:iCs w:val="1"/>
                <w:sz w:val="18"/>
                <w:szCs w:val="18"/>
                <w:rtl w:val="0"/>
              </w:rPr>
              <w:t xml:space="preserve"> T</w:t>
            </w:r>
            <w:r>
              <w:rPr>
                <w:rFonts w:ascii="Georgia"/>
                <w:i w:val="1"/>
                <w:iCs w:val="1"/>
                <w:sz w:val="18"/>
                <w:szCs w:val="18"/>
                <w:vertAlign w:val="subscript"/>
                <w:rtl w:val="0"/>
              </w:rPr>
              <w:t>ij</w:t>
            </w:r>
            <w:r>
              <w:rPr>
                <w:rFonts w:ascii="Georgia"/>
                <w:i w:val="1"/>
                <w:iCs w:val="1"/>
                <w:sz w:val="18"/>
                <w:szCs w:val="18"/>
                <w:rtl w:val="0"/>
              </w:rPr>
              <w:t xml:space="preserve"> R</w:t>
            </w:r>
            <w:r>
              <w:rPr>
                <w:rFonts w:ascii="Georgia"/>
                <w:i w:val="1"/>
                <w:iCs w:val="1"/>
                <w:sz w:val="18"/>
                <w:szCs w:val="18"/>
                <w:vertAlign w:val="subscript"/>
                <w:rtl w:val="0"/>
              </w:rPr>
              <w:t>ij</w:t>
            </w:r>
            <w:r>
              <w:rPr>
                <w:rFonts w:ascii="Georgia"/>
                <w:i w:val="1"/>
                <w:iCs w:val="1"/>
                <w:sz w:val="18"/>
                <w:szCs w:val="18"/>
                <w:rtl w:val="0"/>
                <w:lang w:val="de-DE"/>
              </w:rPr>
              <w:t xml:space="preserve"> + r</w:t>
            </w:r>
            <w:r>
              <w:rPr>
                <w:rFonts w:ascii="Georgia"/>
                <w:i w:val="1"/>
                <w:iCs w:val="1"/>
                <w:sz w:val="18"/>
                <w:szCs w:val="18"/>
                <w:vertAlign w:val="subscript"/>
                <w:rtl w:val="0"/>
              </w:rPr>
              <w:t>ij</w:t>
            </w:r>
          </w:p>
        </w:tc>
        <w:tc>
          <w:tcPr>
            <w:tcW w:type="dxa" w:w="31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sz w:val="18"/>
                <w:szCs w:val="18"/>
                <w:rtl w:val="0"/>
              </w:rPr>
              <w:t>Atomic Contact Energy</w:t>
            </w:r>
          </w:p>
        </w:tc>
      </w:tr>
    </w:tbl>
    <w:p>
      <w:pPr>
        <w:pStyle w:val="Body"/>
        <w:spacing w:line="288" w:lineRule="auto"/>
        <w:jc w:val="left"/>
        <w:rPr>
          <w:rFonts w:ascii="Helvetica Neue" w:cs="Helvetica Neue" w:hAnsi="Helvetica Neue" w:eastAsia="Helvetica Neue"/>
          <w:i w:val="1"/>
          <w:iCs w:val="1"/>
        </w:rPr>
      </w:pPr>
    </w:p>
    <w:p>
      <w:pPr>
        <w:pStyle w:val="Body"/>
        <w:spacing w:line="288" w:lineRule="auto"/>
        <w:jc w:val="left"/>
        <w:rPr>
          <w:rFonts w:ascii="Helvetica Neue" w:cs="Helvetica Neue" w:hAnsi="Helvetica Neue" w:eastAsia="Helvetica Neue"/>
          <w:i w:val="1"/>
          <w:iCs w:val="1"/>
        </w:rPr>
      </w:pPr>
    </w:p>
    <w:p>
      <w:pPr>
        <w:pStyle w:val="Body"/>
        <w:spacing w:line="288" w:lineRule="auto"/>
        <w:jc w:val="left"/>
        <w:rPr>
          <w:rFonts w:ascii="Helvetica Neue" w:cs="Helvetica Neue" w:hAnsi="Helvetica Neue" w:eastAsia="Helvetica Neue"/>
          <w:i w:val="1"/>
          <w:iCs w:val="1"/>
        </w:rPr>
      </w:pPr>
    </w:p>
    <w:p>
      <w:pPr>
        <w:pStyle w:val="Body"/>
        <w:spacing w:line="288" w:lineRule="auto"/>
        <w:jc w:val="left"/>
        <w:rPr>
          <w:rFonts w:ascii="Helvetica Neue" w:cs="Helvetica Neue" w:hAnsi="Helvetica Neue" w:eastAsia="Helvetica Neue"/>
        </w:rPr>
      </w:pPr>
      <w:r>
        <w:rPr>
          <w:rFonts w:ascii="Helvetica Neue"/>
          <w:rtl w:val="0"/>
          <w:lang w:val="en-US"/>
        </w:rPr>
        <w:t xml:space="preserve">Table 4 prevents any conclusion from being made. There is an even split between SASA and electrostatics, so one may say those are both important in the binding of enzyme/inhibitor complexes, though the weighing used does not show a definite preference for increasing or decreasing the variable (split between exponent that are &lt;1 and &gt;1), thus no definite conclusion can be made. It seems unlikely that no conclusion will be reached given a large enough sample size, though it is a possibility. </w:t>
      </w: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r>
        <w:rPr>
          <w:rFonts w:ascii="Helvetica Neue"/>
          <w:rtl w:val="0"/>
          <w:lang w:val="en-US"/>
        </w:rPr>
        <w:t>If results indicate the most favorable weight is 1 (the control), this would mean that the HINT model works best unchanged for that complex.</w:t>
      </w:r>
    </w:p>
    <w:p>
      <w:pPr>
        <w:pStyle w:val="Body"/>
        <w:spacing w:line="288" w:lineRule="auto"/>
        <w:jc w:val="left"/>
        <w:rPr>
          <w:rFonts w:ascii="Helvetica Neue" w:cs="Helvetica Neue" w:hAnsi="Helvetica Neue" w:eastAsia="Helvetica Neue"/>
        </w:rPr>
      </w:pPr>
      <w:r>
        <w:rPr>
          <w:rFonts w:ascii="Helvetica Neue"/>
          <w:rtl w:val="0"/>
          <w:lang w:val="en-US"/>
        </w:rPr>
        <w:t xml:space="preserve"> </w:t>
      </w:r>
    </w:p>
    <w:p>
      <w:pPr>
        <w:pStyle w:val="Body"/>
        <w:spacing w:line="288" w:lineRule="auto"/>
        <w:jc w:val="left"/>
        <w:rPr>
          <w:rFonts w:ascii="Helvetica Neue Medium" w:cs="Helvetica Neue Medium" w:hAnsi="Helvetica Neue Medium" w:eastAsia="Helvetica Neue Medium"/>
          <w:u w:val="single"/>
        </w:rPr>
      </w:pPr>
      <w:r>
        <w:rPr>
          <w:rFonts w:ascii="Helvetica Neue Medium"/>
          <w:u w:val="single"/>
          <w:rtl w:val="0"/>
          <w:lang w:val="en-US"/>
        </w:rPr>
        <w:t>Discussion</w:t>
      </w:r>
    </w:p>
    <w:p>
      <w:pPr>
        <w:pStyle w:val="Body"/>
        <w:spacing w:line="96" w:lineRule="auto"/>
        <w:jc w:val="left"/>
        <w:rPr>
          <w:rFonts w:ascii="Helvetica Neue Medium" w:cs="Helvetica Neue Medium" w:hAnsi="Helvetica Neue Medium" w:eastAsia="Helvetica Neue Medium"/>
          <w:u w:val="single"/>
        </w:rPr>
      </w:pPr>
    </w:p>
    <w:p>
      <w:pPr>
        <w:pStyle w:val="Body"/>
        <w:spacing w:line="288" w:lineRule="auto"/>
        <w:jc w:val="left"/>
        <w:rPr>
          <w:rFonts w:ascii="Helvetica Neue" w:cs="Helvetica Neue" w:hAnsi="Helvetica Neue" w:eastAsia="Helvetica Neue"/>
        </w:rPr>
      </w:pPr>
      <w:r>
        <w:rPr>
          <w:rFonts w:ascii="Helvetica Neue"/>
          <w:rtl w:val="0"/>
          <w:lang w:val="en-US"/>
        </w:rPr>
        <w:t xml:space="preserve">Use of the weighted HINT equation may provide insight into which chemical properties are most significant in the binding of enzyme/inhibitor complexes. </w:t>
      </w:r>
      <w:r>
        <w:rPr>
          <w:rFonts w:ascii="Helvetica Neue"/>
          <w:rtl w:val="0"/>
          <w:lang w:val="en-US"/>
        </w:rPr>
        <w:t>Based on the results from Li et al (2007)</w:t>
      </w:r>
      <w:r>
        <w:rPr>
          <w:rFonts w:ascii="Helvetica Neue"/>
          <w:rtl w:val="0"/>
          <w:lang w:val="en-US"/>
        </w:rPr>
        <w:t xml:space="preserve"> (4)</w:t>
      </w:r>
      <w:r>
        <w:rPr>
          <w:rFonts w:ascii="Helvetica Neue"/>
          <w:rtl w:val="0"/>
          <w:lang w:val="en-US"/>
        </w:rPr>
        <w:t xml:space="preserve">, the use of weighted variables plays a role in finding which chemical properties are most important to the binding of a specific molecular complex. Thus, further work, perhaps using different </w:t>
      </w:r>
      <w:r>
        <w:rPr>
          <w:rFonts w:ascii="Helvetica Neue"/>
          <w:rtl w:val="0"/>
          <w:lang w:val="en-US"/>
        </w:rPr>
        <w:t xml:space="preserve">simulation </w:t>
      </w:r>
      <w:r>
        <w:rPr>
          <w:rFonts w:ascii="Helvetica Neue"/>
          <w:rtl w:val="0"/>
          <w:lang w:val="da-DK"/>
        </w:rPr>
        <w:t>models</w:t>
      </w:r>
      <w:r>
        <w:rPr>
          <w:rFonts w:ascii="Helvetica Neue"/>
          <w:rtl w:val="0"/>
          <w:lang w:val="en-US"/>
        </w:rPr>
        <w:t xml:space="preserve"> and types of complexes may allow for further specialization of docking software, and allow for more efficient and accurate experimentation for drug development. </w:t>
      </w: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rPr>
      </w:pPr>
    </w:p>
    <w:p>
      <w:pPr>
        <w:pStyle w:val="Body"/>
        <w:spacing w:line="288" w:lineRule="auto"/>
        <w:jc w:val="center"/>
        <w:rPr>
          <w:rFonts w:ascii="Helvetica Neue" w:cs="Helvetica Neue" w:hAnsi="Helvetica Neue" w:eastAsia="Helvetica Neue"/>
          <w:b w:val="1"/>
          <w:bCs w:val="1"/>
        </w:rPr>
      </w:pPr>
      <w:r>
        <w:rPr>
          <w:rFonts w:ascii="Helvetica Neue"/>
          <w:b w:val="1"/>
          <w:bCs w:val="1"/>
          <w:rtl w:val="0"/>
          <w:lang w:val="en-US"/>
        </w:rPr>
        <w:t>Table 5</w:t>
      </w:r>
    </w:p>
    <w:p>
      <w:pPr>
        <w:pStyle w:val="Body"/>
        <w:spacing w:line="288" w:lineRule="auto"/>
        <w:jc w:val="center"/>
        <w:rPr>
          <w:rFonts w:ascii="Helvetica Neue" w:cs="Helvetica Neue" w:hAnsi="Helvetica Neue" w:eastAsia="Helvetica Neue"/>
          <w:i w:val="1"/>
          <w:iCs w:val="1"/>
        </w:rPr>
      </w:pPr>
      <w:r>
        <w:rPr>
          <w:rFonts w:ascii="Helvetica Neue"/>
          <w:i w:val="1"/>
          <w:iCs w:val="1"/>
          <w:rtl w:val="0"/>
          <w:lang w:val="en-US"/>
        </w:rPr>
        <w:t>Benchmark 5 PDB Files To Be Used</w:t>
      </w:r>
      <w:r>
        <w:rPr>
          <w:rFonts w:ascii="Helvetica Neue" w:cs="Helvetica Neue" w:hAnsi="Helvetica Neue" w:eastAsia="Helvetica Neue"/>
          <w:i w:val="1"/>
          <w:iCs w:val="1"/>
        </w:rPr>
        <w:drawing>
          <wp:anchor distT="152400" distB="152400" distL="152400" distR="152400" simplePos="0" relativeHeight="251666432" behindDoc="0" locked="0" layoutInCell="1" allowOverlap="1">
            <wp:simplePos x="0" y="0"/>
            <wp:positionH relativeFrom="margin">
              <wp:posOffset>-347511</wp:posOffset>
            </wp:positionH>
            <wp:positionV relativeFrom="line">
              <wp:posOffset>206687</wp:posOffset>
            </wp:positionV>
            <wp:extent cx="6625923" cy="6812091"/>
            <wp:effectExtent l="0" t="0" r="0" b="0"/>
            <wp:wrapThrough wrapText="bothSides" distL="152400" distR="152400">
              <wp:wrapPolygon edited="1">
                <wp:start x="0" y="0"/>
                <wp:lineTo x="0" y="21600"/>
                <wp:lineTo x="21621" y="21600"/>
                <wp:lineTo x="21621"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6-04-18 at 10.33.29 PM.png"/>
                    <pic:cNvPicPr/>
                  </pic:nvPicPr>
                  <pic:blipFill>
                    <a:blip r:embed="rId5">
                      <a:extLst/>
                    </a:blip>
                    <a:stretch>
                      <a:fillRect/>
                    </a:stretch>
                  </pic:blipFill>
                  <pic:spPr>
                    <a:xfrm>
                      <a:off x="0" y="0"/>
                      <a:ext cx="6625923" cy="6812091"/>
                    </a:xfrm>
                    <a:prstGeom prst="rect">
                      <a:avLst/>
                    </a:prstGeom>
                    <a:ln w="12700" cap="flat">
                      <a:noFill/>
                      <a:miter lim="400000"/>
                    </a:ln>
                    <a:effectLst/>
                  </pic:spPr>
                </pic:pic>
              </a:graphicData>
            </a:graphic>
          </wp:anchor>
        </w:drawing>
      </w:r>
    </w:p>
    <w:p>
      <w:pPr>
        <w:pStyle w:val="Body"/>
        <w:spacing w:line="288" w:lineRule="auto"/>
        <w:jc w:val="center"/>
        <w:rPr>
          <w:rFonts w:ascii="Helvetica Neue" w:cs="Helvetica Neue" w:hAnsi="Helvetica Neue" w:eastAsia="Helvetica Neue"/>
          <w:i w:val="1"/>
          <w:iCs w:val="1"/>
        </w:rPr>
      </w:pPr>
    </w:p>
    <w:p>
      <w:pPr>
        <w:pStyle w:val="Body"/>
        <w:spacing w:line="288" w:lineRule="auto"/>
        <w:jc w:val="center"/>
        <w:rPr>
          <w:rFonts w:ascii="Helvetica Neue" w:cs="Helvetica Neue" w:hAnsi="Helvetica Neue" w:eastAsia="Helvetica Neue"/>
          <w:i w:val="1"/>
          <w:iCs w:val="1"/>
        </w:rPr>
      </w:pP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Medium" w:cs="Helvetica Neue Medium" w:hAnsi="Helvetica Neue Medium" w:eastAsia="Helvetica Neue Medium"/>
          <w:u w:val="single"/>
        </w:rPr>
      </w:pPr>
      <w:r>
        <w:rPr>
          <w:rFonts w:ascii="Helvetica Neue Medium"/>
          <w:u w:val="single"/>
          <w:rtl w:val="0"/>
          <w:lang w:val="en-US"/>
        </w:rPr>
        <w:t>References</w:t>
      </w:r>
    </w:p>
    <w:p>
      <w:pPr>
        <w:pStyle w:val="Body"/>
        <w:spacing w:line="312" w:lineRule="auto"/>
        <w:jc w:val="left"/>
        <w:rPr>
          <w:rFonts w:ascii="Helvetica Neue" w:cs="Helvetica Neue" w:hAnsi="Helvetica Neue" w:eastAsia="Helvetica Neue"/>
        </w:rPr>
      </w:pP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Chen, R., Li, L. &amp; Weng, Z., 2003. ZDOCK : An Initial-Stage Protein-Docking Algorithm. Proteins: Structure, Function and Genetics, 87(November 2002), pp.80</w:t>
      </w:r>
      <w:r>
        <w:rPr>
          <w:rFonts w:hAnsi="Helvetica Neue" w:hint="default"/>
          <w:sz w:val="20"/>
          <w:szCs w:val="20"/>
          <w:rtl w:val="0"/>
        </w:rPr>
        <w:t>–</w:t>
      </w:r>
      <w:r>
        <w:rPr>
          <w:rFonts w:ascii="Helvetica Neue"/>
          <w:sz w:val="20"/>
          <w:szCs w:val="20"/>
          <w:rtl w:val="0"/>
        </w:rPr>
        <w:t>87.</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Dominguez, C., Boelens, R. &amp; Bonvin, A.M.J.J., 2003. HADDOCK: A protein-protein docking approach based on biochemical or biophysical information. Journal of the American Chemical Society, 125(7), pp.1731</w:t>
      </w:r>
      <w:r>
        <w:rPr>
          <w:rFonts w:hAnsi="Helvetica Neue" w:hint="default"/>
          <w:sz w:val="20"/>
          <w:szCs w:val="20"/>
          <w:rtl w:val="0"/>
        </w:rPr>
        <w:t>–</w:t>
      </w:r>
      <w:r>
        <w:rPr>
          <w:rFonts w:ascii="Helvetica Neue"/>
          <w:sz w:val="20"/>
          <w:szCs w:val="20"/>
          <w:rtl w:val="0"/>
        </w:rPr>
        <w:t>1737.</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rPr>
        <w:t xml:space="preserve">Jiang, F. &amp; Kim, S.H., 1991. </w:t>
      </w:r>
      <w:r>
        <w:rPr>
          <w:rFonts w:hAnsi="Helvetica Neue" w:hint="default"/>
          <w:sz w:val="20"/>
          <w:szCs w:val="20"/>
          <w:rtl w:val="0"/>
          <w:lang w:val="de-DE"/>
        </w:rPr>
        <w:t>“</w:t>
      </w:r>
      <w:r>
        <w:rPr>
          <w:rFonts w:ascii="Helvetica Neue"/>
          <w:sz w:val="20"/>
          <w:szCs w:val="20"/>
          <w:rtl w:val="0"/>
          <w:lang w:val="en-US"/>
        </w:rPr>
        <w:t>Soft docking</w:t>
      </w:r>
      <w:r>
        <w:rPr>
          <w:rFonts w:hAnsi="Helvetica Neue" w:hint="default"/>
          <w:sz w:val="20"/>
          <w:szCs w:val="20"/>
          <w:rtl w:val="0"/>
        </w:rPr>
        <w:t>”</w:t>
      </w:r>
      <w:r>
        <w:rPr>
          <w:rFonts w:ascii="Helvetica Neue"/>
          <w:sz w:val="20"/>
          <w:szCs w:val="20"/>
          <w:rtl w:val="0"/>
          <w:lang w:val="en-US"/>
        </w:rPr>
        <w:t>: Matching of molecular surface cubes. Journal of Molecular Biology, 219(1), pp.79</w:t>
      </w:r>
      <w:r>
        <w:rPr>
          <w:rFonts w:hAnsi="Helvetica Neue" w:hint="default"/>
          <w:sz w:val="20"/>
          <w:szCs w:val="20"/>
          <w:rtl w:val="0"/>
        </w:rPr>
        <w:t>–</w:t>
      </w:r>
      <w:r>
        <w:rPr>
          <w:rFonts w:ascii="Helvetica Neue"/>
          <w:sz w:val="20"/>
          <w:szCs w:val="20"/>
          <w:rtl w:val="0"/>
        </w:rPr>
        <w:t>102.</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Li, C.H. et al., 2007. Complex-type-dependent scoring functions in protein-protein docking. Biophysical Chemistry, 129(1), pp.1</w:t>
      </w:r>
      <w:r>
        <w:rPr>
          <w:rFonts w:hAnsi="Helvetica Neue" w:hint="default"/>
          <w:sz w:val="20"/>
          <w:szCs w:val="20"/>
          <w:rtl w:val="0"/>
        </w:rPr>
        <w:t>–</w:t>
      </w:r>
      <w:r>
        <w:rPr>
          <w:rFonts w:ascii="Helvetica Neue"/>
          <w:sz w:val="20"/>
          <w:szCs w:val="20"/>
          <w:rtl w:val="0"/>
        </w:rPr>
        <w:t>10.</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Jackson, R.M., 1999. Comparison of protein-protein interactions in serine protease-inhibitor and antibody-antigen complexes: implications for the protein docking problem. Protein science : a publication of the Protein Society, 8, pp.603</w:t>
      </w:r>
      <w:r>
        <w:rPr>
          <w:rFonts w:hAnsi="Helvetica Neue" w:hint="default"/>
          <w:sz w:val="20"/>
          <w:szCs w:val="20"/>
          <w:rtl w:val="0"/>
        </w:rPr>
        <w:t>–</w:t>
      </w:r>
      <w:r>
        <w:rPr>
          <w:rFonts w:ascii="Helvetica Neue"/>
          <w:sz w:val="20"/>
          <w:szCs w:val="20"/>
          <w:rtl w:val="0"/>
        </w:rPr>
        <w:t>613.</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Eugene Kellogg, G. &amp; Abraham, D.J., 2000. Hydrophobicity: Is LogP(o/w) more than the sum of its parts? European Journal of Medicinal Chemistry, 35(7-8), pp.651</w:t>
      </w:r>
      <w:r>
        <w:rPr>
          <w:rFonts w:hAnsi="Helvetica Neue" w:hint="default"/>
          <w:sz w:val="20"/>
          <w:szCs w:val="20"/>
          <w:rtl w:val="0"/>
        </w:rPr>
        <w:t>–</w:t>
      </w:r>
      <w:r>
        <w:rPr>
          <w:rFonts w:ascii="Helvetica Neue"/>
          <w:sz w:val="20"/>
          <w:szCs w:val="20"/>
          <w:rtl w:val="0"/>
        </w:rPr>
        <w:t>661.</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Kellogg, G.E., Burnett, J.C. &amp; Abraham, D.J., 2001. Very empirical treatment of solvation and entropy: A force field derived from Log Po/w. Journal of Computer-Aided Molecular Design, 15, pp.381</w:t>
      </w:r>
      <w:r>
        <w:rPr>
          <w:rFonts w:hAnsi="Helvetica Neue" w:hint="default"/>
          <w:sz w:val="20"/>
          <w:szCs w:val="20"/>
          <w:rtl w:val="0"/>
        </w:rPr>
        <w:t>–</w:t>
      </w:r>
      <w:r>
        <w:rPr>
          <w:rFonts w:ascii="Helvetica Neue"/>
          <w:sz w:val="20"/>
          <w:szCs w:val="20"/>
          <w:rtl w:val="0"/>
        </w:rPr>
        <w:t>393.</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lang w:val="en-US"/>
        </w:rPr>
        <w:t>Vreven, T. et al., 2015. Updates to the integrated protein-protein interaction benchmarks: Docking benchmark version 5 and affinity benchmark version 2. J. Mol. Biol., 427(19), pp.3031</w:t>
      </w:r>
      <w:r>
        <w:rPr>
          <w:rFonts w:hAnsi="Helvetica Neue" w:hint="default"/>
          <w:sz w:val="20"/>
          <w:szCs w:val="20"/>
          <w:rtl w:val="0"/>
        </w:rPr>
        <w:t>–</w:t>
      </w:r>
      <w:r>
        <w:rPr>
          <w:rFonts w:ascii="Helvetica Neue"/>
          <w:sz w:val="20"/>
          <w:szCs w:val="20"/>
          <w:rtl w:val="0"/>
        </w:rPr>
        <w:t>3041.</w:t>
      </w:r>
    </w:p>
    <w:p>
      <w:pPr>
        <w:pStyle w:val="Body"/>
        <w:numPr>
          <w:ilvl w:val="0"/>
          <w:numId w:val="12"/>
        </w:numPr>
        <w:spacing w:line="312" w:lineRule="auto"/>
        <w:ind w:left="576" w:hanging="576"/>
        <w:jc w:val="left"/>
        <w:rPr>
          <w:rFonts w:ascii="Helvetica Neue" w:cs="Helvetica Neue" w:hAnsi="Helvetica Neue" w:eastAsia="Helvetica Neue"/>
          <w:position w:val="0"/>
          <w:sz w:val="20"/>
          <w:szCs w:val="20"/>
        </w:rPr>
      </w:pPr>
      <w:r>
        <w:rPr>
          <w:rFonts w:ascii="Helvetica Neue"/>
          <w:sz w:val="20"/>
          <w:szCs w:val="20"/>
          <w:rtl w:val="0"/>
        </w:rPr>
        <w:t xml:space="preserve">Gabb, H.A., Jackson, R.M. &amp; Sternberg, M.J.E., 1997. </w:t>
      </w:r>
      <w:r>
        <w:rPr>
          <w:rFonts w:ascii="Helvetica Neue"/>
          <w:sz w:val="20"/>
          <w:szCs w:val="20"/>
          <w:rtl w:val="0"/>
          <w:lang w:val="en-US"/>
        </w:rPr>
        <w:t>Modeling</w:t>
      </w:r>
      <w:r>
        <w:rPr>
          <w:rFonts w:ascii="Helvetica Neue"/>
          <w:sz w:val="20"/>
          <w:szCs w:val="20"/>
          <w:rtl w:val="0"/>
          <w:lang w:val="en-US"/>
        </w:rPr>
        <w:t xml:space="preserve"> Protein Docking using Shape Complementarity, Electrostatics and Biochemical Information. J. Mole. Biol., 272, pp.106</w:t>
      </w:r>
      <w:r>
        <w:rPr>
          <w:rFonts w:hAnsi="Helvetica Neue" w:hint="default"/>
          <w:sz w:val="20"/>
          <w:szCs w:val="20"/>
          <w:rtl w:val="0"/>
        </w:rPr>
        <w:t>–</w:t>
      </w:r>
      <w:r>
        <w:rPr>
          <w:rFonts w:ascii="Helvetica Neue"/>
          <w:sz w:val="20"/>
          <w:szCs w:val="20"/>
          <w:rtl w:val="0"/>
        </w:rPr>
        <w:t>120.</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 w:name="Helvetica Neue Medium">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1">
    <w:multiLevelType w:val="multilevel"/>
    <w:lvl w:ilvl="0">
      <w:start w:val="1"/>
      <w:numFmt w:val="bullet"/>
      <w:suff w:val="tab"/>
      <w:lvlText w:val="•"/>
      <w:lvlJc w:val="left"/>
      <w:pPr/>
      <w:rPr>
        <w:position w:val="-2"/>
      </w:rPr>
    </w:lvl>
    <w:lvl w:ilvl="1">
      <w:start w:val="1"/>
      <w:numFmt w:val="bullet"/>
      <w:suff w:val="tab"/>
      <w:lvlText w:val="•"/>
      <w:lvlJc w:val="left"/>
      <w:pPr/>
      <w:rPr>
        <w:position w:val="-2"/>
      </w:rPr>
    </w:lvl>
    <w:lvl w:ilvl="2">
      <w:start w:val="1"/>
      <w:numFmt w:val="bullet"/>
      <w:suff w:val="tab"/>
      <w:lvlText w:val="•"/>
      <w:lvlJc w:val="left"/>
      <w:pPr/>
      <w:rPr>
        <w:position w:val="-2"/>
      </w:rPr>
    </w:lvl>
    <w:lvl w:ilvl="3">
      <w:start w:val="1"/>
      <w:numFmt w:val="bullet"/>
      <w:suff w:val="tab"/>
      <w:lvlText w:val="•"/>
      <w:lvlJc w:val="left"/>
      <w:pPr/>
      <w:rPr>
        <w:position w:val="-2"/>
      </w:rPr>
    </w:lvl>
    <w:lvl w:ilvl="4">
      <w:start w:val="1"/>
      <w:numFmt w:val="bullet"/>
      <w:suff w:val="tab"/>
      <w:lvlText w:val="•"/>
      <w:lvlJc w:val="left"/>
      <w:pPr/>
      <w:rPr>
        <w:position w:val="-2"/>
      </w:rPr>
    </w:lvl>
    <w:lvl w:ilvl="5">
      <w:start w:val="1"/>
      <w:numFmt w:val="bullet"/>
      <w:suff w:val="tab"/>
      <w:lvlText w:val="•"/>
      <w:lvlJc w:val="left"/>
      <w:pPr/>
      <w:rPr>
        <w:position w:val="-2"/>
      </w:rPr>
    </w:lvl>
    <w:lvl w:ilvl="6">
      <w:start w:val="1"/>
      <w:numFmt w:val="bullet"/>
      <w:suff w:val="tab"/>
      <w:lvlText w:val="•"/>
      <w:lvlJc w:val="left"/>
      <w:pPr/>
      <w:rPr>
        <w:position w:val="-2"/>
      </w:rPr>
    </w:lvl>
    <w:lvl w:ilvl="7">
      <w:start w:val="1"/>
      <w:numFmt w:val="bullet"/>
      <w:suff w:val="tab"/>
      <w:lvlText w:val="•"/>
      <w:lvlJc w:val="left"/>
      <w:pPr/>
      <w:rPr>
        <w:position w:val="-2"/>
      </w:rPr>
    </w:lvl>
    <w:lvl w:ilvl="8">
      <w:start w:val="1"/>
      <w:numFmt w:val="bullet"/>
      <w:suff w:val="tab"/>
      <w:lvlText w:val="•"/>
      <w:lvlJc w:val="left"/>
      <w:pPr/>
      <w:rPr>
        <w:position w:val="-2"/>
      </w:rPr>
    </w:lvl>
  </w:abstractNum>
  <w:abstractNum w:abstractNumId="2">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3">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4">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5">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6">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7">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8">
    <w:multiLevelType w:val="multilevel"/>
    <w:styleLink w:val="List 0"/>
    <w:lvl w:ilvl="0">
      <w:start w:val="0"/>
      <w:numFmt w:val="bullet"/>
      <w:suff w:val="tab"/>
      <w:lvlText w:val="•"/>
      <w:lvlJc w:val="left"/>
      <w:pPr/>
      <w:rPr>
        <w:rFonts w:ascii="Georgia" w:cs="Georgia" w:hAnsi="Georgia" w:eastAsia="Georgia"/>
        <w:i w:val="1"/>
        <w:iCs w:val="1"/>
        <w:position w:val="-2"/>
      </w:rPr>
    </w:lvl>
    <w:lvl w:ilvl="1">
      <w:start w:val="1"/>
      <w:numFmt w:val="bullet"/>
      <w:suff w:val="tab"/>
      <w:lvlText w:val="•"/>
      <w:lvlJc w:val="left"/>
      <w:pPr/>
      <w:rPr>
        <w:rFonts w:ascii="Georgia" w:cs="Georgia" w:hAnsi="Georgia" w:eastAsia="Georgia"/>
        <w:i w:val="1"/>
        <w:iCs w:val="1"/>
        <w:position w:val="-2"/>
      </w:rPr>
    </w:lvl>
    <w:lvl w:ilvl="2">
      <w:start w:val="1"/>
      <w:numFmt w:val="bullet"/>
      <w:suff w:val="tab"/>
      <w:lvlText w:val="•"/>
      <w:lvlJc w:val="left"/>
      <w:pPr/>
      <w:rPr>
        <w:rFonts w:ascii="Georgia" w:cs="Georgia" w:hAnsi="Georgia" w:eastAsia="Georgia"/>
        <w:i w:val="1"/>
        <w:iCs w:val="1"/>
        <w:position w:val="-2"/>
      </w:rPr>
    </w:lvl>
    <w:lvl w:ilvl="3">
      <w:start w:val="1"/>
      <w:numFmt w:val="bullet"/>
      <w:suff w:val="tab"/>
      <w:lvlText w:val="•"/>
      <w:lvlJc w:val="left"/>
      <w:pPr/>
      <w:rPr>
        <w:rFonts w:ascii="Georgia" w:cs="Georgia" w:hAnsi="Georgia" w:eastAsia="Georgia"/>
        <w:i w:val="1"/>
        <w:iCs w:val="1"/>
        <w:position w:val="-2"/>
      </w:rPr>
    </w:lvl>
    <w:lvl w:ilvl="4">
      <w:start w:val="1"/>
      <w:numFmt w:val="bullet"/>
      <w:suff w:val="tab"/>
      <w:lvlText w:val="•"/>
      <w:lvlJc w:val="left"/>
      <w:pPr/>
      <w:rPr>
        <w:rFonts w:ascii="Georgia" w:cs="Georgia" w:hAnsi="Georgia" w:eastAsia="Georgia"/>
        <w:i w:val="1"/>
        <w:iCs w:val="1"/>
        <w:position w:val="-2"/>
      </w:rPr>
    </w:lvl>
    <w:lvl w:ilvl="5">
      <w:start w:val="1"/>
      <w:numFmt w:val="bullet"/>
      <w:suff w:val="tab"/>
      <w:lvlText w:val="•"/>
      <w:lvlJc w:val="left"/>
      <w:pPr/>
      <w:rPr>
        <w:rFonts w:ascii="Georgia" w:cs="Georgia" w:hAnsi="Georgia" w:eastAsia="Georgia"/>
        <w:i w:val="1"/>
        <w:iCs w:val="1"/>
        <w:position w:val="-2"/>
      </w:rPr>
    </w:lvl>
    <w:lvl w:ilvl="6">
      <w:start w:val="1"/>
      <w:numFmt w:val="bullet"/>
      <w:suff w:val="tab"/>
      <w:lvlText w:val="•"/>
      <w:lvlJc w:val="left"/>
      <w:pPr/>
      <w:rPr>
        <w:rFonts w:ascii="Georgia" w:cs="Georgia" w:hAnsi="Georgia" w:eastAsia="Georgia"/>
        <w:i w:val="1"/>
        <w:iCs w:val="1"/>
        <w:position w:val="-2"/>
      </w:rPr>
    </w:lvl>
    <w:lvl w:ilvl="7">
      <w:start w:val="1"/>
      <w:numFmt w:val="bullet"/>
      <w:suff w:val="tab"/>
      <w:lvlText w:val="•"/>
      <w:lvlJc w:val="left"/>
      <w:pPr/>
      <w:rPr>
        <w:rFonts w:ascii="Georgia" w:cs="Georgia" w:hAnsi="Georgia" w:eastAsia="Georgia"/>
        <w:i w:val="1"/>
        <w:iCs w:val="1"/>
        <w:position w:val="-2"/>
      </w:rPr>
    </w:lvl>
    <w:lvl w:ilvl="8">
      <w:start w:val="1"/>
      <w:numFmt w:val="bullet"/>
      <w:suff w:val="tab"/>
      <w:lvlText w:val="•"/>
      <w:lvlJc w:val="left"/>
      <w:pPr/>
      <w:rPr>
        <w:rFonts w:ascii="Georgia" w:cs="Georgia" w:hAnsi="Georgia" w:eastAsia="Georgia"/>
        <w:i w:val="1"/>
        <w:iCs w:val="1"/>
        <w:position w:val="-2"/>
      </w:rPr>
    </w:lvl>
  </w:abstractNum>
  <w:abstractNum w:abstractNumId="9">
    <w:multiLevelType w:val="multilevel"/>
    <w:lvl w:ilvl="0">
      <w:start w:val="1"/>
      <w:numFmt w:val="decimal"/>
      <w:suff w:val="tab"/>
      <w:lvlText w:val="%1."/>
      <w:lvlJc w:val="left"/>
      <w:pPr>
        <w:tabs>
          <w:tab w:val="num" w:pos="360"/>
          <w:tab w:val="clear" w:pos="0"/>
        </w:tabs>
        <w:ind w:left="576" w:hanging="576"/>
      </w:pPr>
      <w:rPr>
        <w:rFonts w:ascii="Helvetica Neue" w:cs="Helvetica Neue" w:hAnsi="Helvetica Neue" w:eastAsia="Helvetica Neue"/>
        <w:position w:val="0"/>
        <w:sz w:val="20"/>
        <w:szCs w:val="20"/>
      </w:rPr>
    </w:lvl>
    <w:lvl w:ilvl="1">
      <w:start w:val="1"/>
      <w:numFmt w:val="decimal"/>
      <w:suff w:val="tab"/>
      <w:lvlText w:val="%2."/>
      <w:lvlJc w:val="left"/>
      <w:pPr>
        <w:tabs>
          <w:tab w:val="num" w:pos="687"/>
          <w:tab w:val="clear" w:pos="0"/>
        </w:tabs>
        <w:ind w:left="903" w:hanging="543"/>
      </w:pPr>
      <w:rPr>
        <w:rFonts w:ascii="Helvetica Neue" w:cs="Helvetica Neue" w:hAnsi="Helvetica Neue" w:eastAsia="Helvetica Neue"/>
        <w:position w:val="0"/>
        <w:sz w:val="20"/>
        <w:szCs w:val="20"/>
      </w:rPr>
    </w:lvl>
    <w:lvl w:ilvl="2">
      <w:start w:val="1"/>
      <w:numFmt w:val="decimal"/>
      <w:suff w:val="tab"/>
      <w:lvlText w:val="%3."/>
      <w:lvlJc w:val="left"/>
      <w:pPr>
        <w:tabs>
          <w:tab w:val="num" w:pos="1047"/>
          <w:tab w:val="clear" w:pos="0"/>
        </w:tabs>
        <w:ind w:left="1263" w:hanging="543"/>
      </w:pPr>
      <w:rPr>
        <w:rFonts w:ascii="Helvetica Neue" w:cs="Helvetica Neue" w:hAnsi="Helvetica Neue" w:eastAsia="Helvetica Neue"/>
        <w:position w:val="0"/>
        <w:sz w:val="20"/>
        <w:szCs w:val="20"/>
      </w:rPr>
    </w:lvl>
    <w:lvl w:ilvl="3">
      <w:start w:val="1"/>
      <w:numFmt w:val="decimal"/>
      <w:suff w:val="tab"/>
      <w:lvlText w:val="%4."/>
      <w:lvlJc w:val="left"/>
      <w:pPr>
        <w:tabs>
          <w:tab w:val="num" w:pos="1407"/>
          <w:tab w:val="clear" w:pos="0"/>
        </w:tabs>
        <w:ind w:left="1623" w:hanging="543"/>
      </w:pPr>
      <w:rPr>
        <w:rFonts w:ascii="Helvetica Neue" w:cs="Helvetica Neue" w:hAnsi="Helvetica Neue" w:eastAsia="Helvetica Neue"/>
        <w:position w:val="0"/>
        <w:sz w:val="20"/>
        <w:szCs w:val="20"/>
      </w:rPr>
    </w:lvl>
    <w:lvl w:ilvl="4">
      <w:start w:val="1"/>
      <w:numFmt w:val="decimal"/>
      <w:suff w:val="tab"/>
      <w:lvlText w:val="%5."/>
      <w:lvlJc w:val="left"/>
      <w:pPr>
        <w:tabs>
          <w:tab w:val="num" w:pos="1767"/>
          <w:tab w:val="clear" w:pos="0"/>
        </w:tabs>
        <w:ind w:left="1983" w:hanging="543"/>
      </w:pPr>
      <w:rPr>
        <w:rFonts w:ascii="Helvetica Neue" w:cs="Helvetica Neue" w:hAnsi="Helvetica Neue" w:eastAsia="Helvetica Neue"/>
        <w:position w:val="0"/>
        <w:sz w:val="20"/>
        <w:szCs w:val="20"/>
      </w:rPr>
    </w:lvl>
    <w:lvl w:ilvl="5">
      <w:start w:val="1"/>
      <w:numFmt w:val="decimal"/>
      <w:suff w:val="tab"/>
      <w:lvlText w:val="%6."/>
      <w:lvlJc w:val="left"/>
      <w:pPr>
        <w:tabs>
          <w:tab w:val="num" w:pos="2127"/>
          <w:tab w:val="clear" w:pos="0"/>
        </w:tabs>
        <w:ind w:left="2343" w:hanging="543"/>
      </w:pPr>
      <w:rPr>
        <w:rFonts w:ascii="Helvetica Neue" w:cs="Helvetica Neue" w:hAnsi="Helvetica Neue" w:eastAsia="Helvetica Neue"/>
        <w:position w:val="0"/>
        <w:sz w:val="20"/>
        <w:szCs w:val="20"/>
      </w:rPr>
    </w:lvl>
    <w:lvl w:ilvl="6">
      <w:start w:val="1"/>
      <w:numFmt w:val="decimal"/>
      <w:suff w:val="tab"/>
      <w:lvlText w:val="%7."/>
      <w:lvlJc w:val="left"/>
      <w:pPr>
        <w:tabs>
          <w:tab w:val="num" w:pos="2487"/>
          <w:tab w:val="clear" w:pos="0"/>
        </w:tabs>
        <w:ind w:left="2703" w:hanging="543"/>
      </w:pPr>
      <w:rPr>
        <w:rFonts w:ascii="Helvetica Neue" w:cs="Helvetica Neue" w:hAnsi="Helvetica Neue" w:eastAsia="Helvetica Neue"/>
        <w:position w:val="0"/>
        <w:sz w:val="20"/>
        <w:szCs w:val="20"/>
      </w:rPr>
    </w:lvl>
    <w:lvl w:ilvl="7">
      <w:start w:val="1"/>
      <w:numFmt w:val="decimal"/>
      <w:suff w:val="tab"/>
      <w:lvlText w:val="%8."/>
      <w:lvlJc w:val="left"/>
      <w:pPr>
        <w:tabs>
          <w:tab w:val="num" w:pos="2847"/>
          <w:tab w:val="clear" w:pos="0"/>
        </w:tabs>
        <w:ind w:left="3063" w:hanging="543"/>
      </w:pPr>
      <w:rPr>
        <w:rFonts w:ascii="Helvetica Neue" w:cs="Helvetica Neue" w:hAnsi="Helvetica Neue" w:eastAsia="Helvetica Neue"/>
        <w:position w:val="0"/>
        <w:sz w:val="20"/>
        <w:szCs w:val="20"/>
      </w:rPr>
    </w:lvl>
    <w:lvl w:ilvl="8">
      <w:start w:val="1"/>
      <w:numFmt w:val="decimal"/>
      <w:suff w:val="tab"/>
      <w:lvlText w:val="%9."/>
      <w:lvlJc w:val="left"/>
      <w:pPr>
        <w:tabs>
          <w:tab w:val="num" w:pos="3207"/>
          <w:tab w:val="clear" w:pos="0"/>
        </w:tabs>
        <w:ind w:left="3423" w:hanging="543"/>
      </w:pPr>
      <w:rPr>
        <w:rFonts w:ascii="Helvetica Neue" w:cs="Helvetica Neue" w:hAnsi="Helvetica Neue" w:eastAsia="Helvetica Neue"/>
        <w:position w:val="0"/>
        <w:sz w:val="20"/>
        <w:szCs w:val="20"/>
      </w:rPr>
    </w:lvl>
  </w:abstractNum>
  <w:abstractNum w:abstractNumId="10">
    <w:multiLevelType w:val="multilevel"/>
    <w:lvl w:ilvl="0">
      <w:start w:val="1"/>
      <w:numFmt w:val="decimal"/>
      <w:suff w:val="tab"/>
      <w:lvlText w:val="%1."/>
      <w:lvlJc w:val="left"/>
      <w:pPr>
        <w:tabs>
          <w:tab w:val="num" w:pos="360"/>
          <w:tab w:val="clear" w:pos="0"/>
        </w:tabs>
        <w:ind w:left="3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suff w:val="tab"/>
      <w:lvlText w:val="%2."/>
      <w:lvlJc w:val="left"/>
      <w:pPr>
        <w:tabs>
          <w:tab w:val="num" w:pos="720"/>
          <w:tab w:val="clear" w:pos="0"/>
        </w:tabs>
        <w:ind w:left="7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suff w:val="tab"/>
      <w:lvlText w:val="%3."/>
      <w:lvlJc w:val="left"/>
      <w:pPr>
        <w:tabs>
          <w:tab w:val="num" w:pos="1080"/>
          <w:tab w:val="clear" w:pos="0"/>
        </w:tabs>
        <w:ind w:left="10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1440"/>
          <w:tab w:val="clear" w:pos="0"/>
        </w:tabs>
        <w:ind w:left="14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suff w:val="tab"/>
      <w:lvlText w:val="%5."/>
      <w:lvlJc w:val="left"/>
      <w:pPr>
        <w:tabs>
          <w:tab w:val="num" w:pos="1800"/>
          <w:tab w:val="clear" w:pos="0"/>
        </w:tabs>
        <w:ind w:left="180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suff w:val="tab"/>
      <w:lvlText w:val="%6."/>
      <w:lvlJc w:val="left"/>
      <w:pPr>
        <w:tabs>
          <w:tab w:val="num" w:pos="2160"/>
          <w:tab w:val="clear" w:pos="0"/>
        </w:tabs>
        <w:ind w:left="216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2520"/>
          <w:tab w:val="clear" w:pos="0"/>
        </w:tabs>
        <w:ind w:left="252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suff w:val="tab"/>
      <w:lvlText w:val="%8."/>
      <w:lvlJc w:val="left"/>
      <w:pPr>
        <w:tabs>
          <w:tab w:val="num" w:pos="2880"/>
          <w:tab w:val="clear" w:pos="0"/>
        </w:tabs>
        <w:ind w:left="288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suff w:val="tab"/>
      <w:lvlText w:val="%9."/>
      <w:lvlJc w:val="left"/>
      <w:pPr>
        <w:tabs>
          <w:tab w:val="num" w:pos="3240"/>
          <w:tab w:val="clear" w:pos="0"/>
        </w:tabs>
        <w:ind w:left="3240" w:hanging="3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1">
    <w:multiLevelType w:val="multilevel"/>
    <w:styleLink w:val="List 1"/>
    <w:lvl w:ilvl="0">
      <w:start w:val="1"/>
      <w:numFmt w:val="decimal"/>
      <w:suff w:val="tab"/>
      <w:lvlText w:val="%1."/>
      <w:lvlJc w:val="left"/>
      <w:pPr>
        <w:tabs>
          <w:tab w:val="num" w:pos="360"/>
          <w:tab w:val="clear" w:pos="0"/>
        </w:tabs>
        <w:ind w:left="576" w:hanging="576"/>
      </w:pPr>
      <w:rPr>
        <w:rFonts w:ascii="Helvetica Neue" w:cs="Helvetica Neue" w:hAnsi="Helvetica Neue" w:eastAsia="Helvetica Neue"/>
        <w:position w:val="0"/>
        <w:sz w:val="20"/>
        <w:szCs w:val="20"/>
      </w:rPr>
    </w:lvl>
    <w:lvl w:ilvl="1">
      <w:start w:val="1"/>
      <w:numFmt w:val="decimal"/>
      <w:suff w:val="tab"/>
      <w:lvlText w:val="%2."/>
      <w:lvlJc w:val="left"/>
      <w:pPr>
        <w:tabs>
          <w:tab w:val="num" w:pos="687"/>
          <w:tab w:val="clear" w:pos="0"/>
        </w:tabs>
        <w:ind w:left="903" w:hanging="543"/>
      </w:pPr>
      <w:rPr>
        <w:rFonts w:ascii="Helvetica Neue" w:cs="Helvetica Neue" w:hAnsi="Helvetica Neue" w:eastAsia="Helvetica Neue"/>
        <w:position w:val="0"/>
        <w:sz w:val="20"/>
        <w:szCs w:val="20"/>
      </w:rPr>
    </w:lvl>
    <w:lvl w:ilvl="2">
      <w:start w:val="1"/>
      <w:numFmt w:val="decimal"/>
      <w:suff w:val="tab"/>
      <w:lvlText w:val="%3."/>
      <w:lvlJc w:val="left"/>
      <w:pPr>
        <w:tabs>
          <w:tab w:val="num" w:pos="1047"/>
          <w:tab w:val="clear" w:pos="0"/>
        </w:tabs>
        <w:ind w:left="1263" w:hanging="543"/>
      </w:pPr>
      <w:rPr>
        <w:rFonts w:ascii="Helvetica Neue" w:cs="Helvetica Neue" w:hAnsi="Helvetica Neue" w:eastAsia="Helvetica Neue"/>
        <w:position w:val="0"/>
        <w:sz w:val="20"/>
        <w:szCs w:val="20"/>
      </w:rPr>
    </w:lvl>
    <w:lvl w:ilvl="3">
      <w:start w:val="1"/>
      <w:numFmt w:val="decimal"/>
      <w:suff w:val="tab"/>
      <w:lvlText w:val="%4."/>
      <w:lvlJc w:val="left"/>
      <w:pPr>
        <w:tabs>
          <w:tab w:val="num" w:pos="1407"/>
          <w:tab w:val="clear" w:pos="0"/>
        </w:tabs>
        <w:ind w:left="1623" w:hanging="543"/>
      </w:pPr>
      <w:rPr>
        <w:rFonts w:ascii="Helvetica Neue" w:cs="Helvetica Neue" w:hAnsi="Helvetica Neue" w:eastAsia="Helvetica Neue"/>
        <w:position w:val="0"/>
        <w:sz w:val="20"/>
        <w:szCs w:val="20"/>
      </w:rPr>
    </w:lvl>
    <w:lvl w:ilvl="4">
      <w:start w:val="1"/>
      <w:numFmt w:val="decimal"/>
      <w:suff w:val="tab"/>
      <w:lvlText w:val="%5."/>
      <w:lvlJc w:val="left"/>
      <w:pPr>
        <w:tabs>
          <w:tab w:val="num" w:pos="1767"/>
          <w:tab w:val="clear" w:pos="0"/>
        </w:tabs>
        <w:ind w:left="1983" w:hanging="543"/>
      </w:pPr>
      <w:rPr>
        <w:rFonts w:ascii="Helvetica Neue" w:cs="Helvetica Neue" w:hAnsi="Helvetica Neue" w:eastAsia="Helvetica Neue"/>
        <w:position w:val="0"/>
        <w:sz w:val="20"/>
        <w:szCs w:val="20"/>
      </w:rPr>
    </w:lvl>
    <w:lvl w:ilvl="5">
      <w:start w:val="1"/>
      <w:numFmt w:val="decimal"/>
      <w:suff w:val="tab"/>
      <w:lvlText w:val="%6."/>
      <w:lvlJc w:val="left"/>
      <w:pPr>
        <w:tabs>
          <w:tab w:val="num" w:pos="2127"/>
          <w:tab w:val="clear" w:pos="0"/>
        </w:tabs>
        <w:ind w:left="2343" w:hanging="543"/>
      </w:pPr>
      <w:rPr>
        <w:rFonts w:ascii="Helvetica Neue" w:cs="Helvetica Neue" w:hAnsi="Helvetica Neue" w:eastAsia="Helvetica Neue"/>
        <w:position w:val="0"/>
        <w:sz w:val="20"/>
        <w:szCs w:val="20"/>
      </w:rPr>
    </w:lvl>
    <w:lvl w:ilvl="6">
      <w:start w:val="1"/>
      <w:numFmt w:val="decimal"/>
      <w:suff w:val="tab"/>
      <w:lvlText w:val="%7."/>
      <w:lvlJc w:val="left"/>
      <w:pPr>
        <w:tabs>
          <w:tab w:val="num" w:pos="2487"/>
          <w:tab w:val="clear" w:pos="0"/>
        </w:tabs>
        <w:ind w:left="2703" w:hanging="543"/>
      </w:pPr>
      <w:rPr>
        <w:rFonts w:ascii="Helvetica Neue" w:cs="Helvetica Neue" w:hAnsi="Helvetica Neue" w:eastAsia="Helvetica Neue"/>
        <w:position w:val="0"/>
        <w:sz w:val="20"/>
        <w:szCs w:val="20"/>
      </w:rPr>
    </w:lvl>
    <w:lvl w:ilvl="7">
      <w:start w:val="1"/>
      <w:numFmt w:val="decimal"/>
      <w:suff w:val="tab"/>
      <w:lvlText w:val="%8."/>
      <w:lvlJc w:val="left"/>
      <w:pPr>
        <w:tabs>
          <w:tab w:val="num" w:pos="2847"/>
          <w:tab w:val="clear" w:pos="0"/>
        </w:tabs>
        <w:ind w:left="3063" w:hanging="543"/>
      </w:pPr>
      <w:rPr>
        <w:rFonts w:ascii="Helvetica Neue" w:cs="Helvetica Neue" w:hAnsi="Helvetica Neue" w:eastAsia="Helvetica Neue"/>
        <w:position w:val="0"/>
        <w:sz w:val="20"/>
        <w:szCs w:val="20"/>
      </w:rPr>
    </w:lvl>
    <w:lvl w:ilvl="8">
      <w:start w:val="1"/>
      <w:numFmt w:val="decimal"/>
      <w:suff w:val="tab"/>
      <w:lvlText w:val="%9."/>
      <w:lvlJc w:val="left"/>
      <w:pPr>
        <w:tabs>
          <w:tab w:val="num" w:pos="3207"/>
          <w:tab w:val="clear" w:pos="0"/>
        </w:tabs>
        <w:ind w:left="3423" w:hanging="543"/>
      </w:pPr>
      <w:rPr>
        <w:rFonts w:ascii="Helvetica Neue" w:cs="Helvetica Neue" w:hAnsi="Helvetica Neue" w:eastAsia="Helvetica Neue"/>
        <w:position w:val="0"/>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ist 0">
    <w:name w:val="List 0"/>
    <w:basedOn w:val="Bullet"/>
    <w:next w:val="List 0"/>
    <w:pPr>
      <w:numPr>
        <w:numId w:val="1"/>
      </w:numPr>
    </w:pPr>
  </w:style>
  <w:style w:type="numbering" w:styleId="Bullet">
    <w:name w:val="Bullet"/>
    <w:next w:val="Bullet"/>
    <w:pPr>
      <w:numPr>
        <w:numId w:val="2"/>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ist 1">
    <w:name w:val="List 1"/>
    <w:basedOn w:val="Numbered"/>
    <w:next w:val="List 1"/>
    <w:pPr>
      <w:numPr>
        <w:numId w:val="10"/>
      </w:numPr>
    </w:pPr>
  </w:style>
  <w:style w:type="numbering" w:styleId="Numbered">
    <w:name w:val="Numbered"/>
    <w:next w:val="Numbered"/>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