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EE92F" w14:textId="182465A7" w:rsidR="00174891" w:rsidRDefault="00174891" w:rsidP="00174891">
      <w:r>
        <w:t>Suquoia Mosby</w:t>
      </w:r>
    </w:p>
    <w:p w14:paraId="218DC2E9" w14:textId="74AFB926" w:rsidR="00CF183B" w:rsidRDefault="00174891" w:rsidP="00174891">
      <w:pPr>
        <w:jc w:val="center"/>
      </w:pPr>
      <w:r>
        <w:t>BNFO 300 Proposal</w:t>
      </w:r>
    </w:p>
    <w:p w14:paraId="0D93A864" w14:textId="77777777" w:rsidR="00174891" w:rsidRPr="00CF183B" w:rsidRDefault="00174891" w:rsidP="00CF183B"/>
    <w:p w14:paraId="2944AD32" w14:textId="4AB51FB2" w:rsidR="00CF183B" w:rsidRPr="00CF183B" w:rsidRDefault="00CF183B" w:rsidP="00CF183B">
      <w:pPr>
        <w:rPr>
          <w:u w:val="single"/>
        </w:rPr>
      </w:pPr>
      <w:r>
        <w:rPr>
          <w:u w:val="single"/>
        </w:rPr>
        <w:t>Introduction</w:t>
      </w:r>
    </w:p>
    <w:p w14:paraId="6B8B8989" w14:textId="77777777" w:rsidR="009F1745" w:rsidRDefault="009F1745" w:rsidP="008A08A4">
      <w:pPr>
        <w:ind w:firstLine="720"/>
      </w:pPr>
      <w:r>
        <w:t>Excluding skin cancer, colorectal cancer (CRC) is the third most common cancer diagnosed in both men and women in the US (cancer.org). CRC is associated with diets high in processed foods, red meat and chronic gastrointestinal inflammation (</w:t>
      </w:r>
      <w:proofErr w:type="spellStart"/>
      <w:r>
        <w:t>Hagland</w:t>
      </w:r>
      <w:proofErr w:type="spellEnd"/>
      <w:r>
        <w:t xml:space="preserve"> et al. 2015). So far, CRC has caused 49, 910 deaths this year (cancer.org). Twenty-five percent of patients diagnosed with CRC have a family history of this cancer (cancer.org).</w:t>
      </w:r>
    </w:p>
    <w:p w14:paraId="63284879" w14:textId="77777777" w:rsidR="009F1745" w:rsidRDefault="009F1745" w:rsidP="008A08A4">
      <w:pPr>
        <w:ind w:firstLine="720"/>
      </w:pPr>
      <w:r>
        <w:t>The gut microbiome has been shown to be associated with the cell proliferation and apoptosis in cancer behavior (</w:t>
      </w:r>
      <w:proofErr w:type="spellStart"/>
      <w:r>
        <w:t>Zackular</w:t>
      </w:r>
      <w:proofErr w:type="spellEnd"/>
      <w:r>
        <w:t xml:space="preserve"> et al. 2013). Specifically, when comparing healthy gut microbiomes to the gut microbiomes of CRC patients, the CRC patients tended to have altered gut microbiomes (</w:t>
      </w:r>
      <w:proofErr w:type="spellStart"/>
      <w:r>
        <w:t>Zackular</w:t>
      </w:r>
      <w:proofErr w:type="spellEnd"/>
      <w:r>
        <w:t xml:space="preserve"> et al. 2013). The main type of alteration noted is a drop in gut microbiota diversity. A drop in diversity leads to increased competition among the bacterial colonies for space and food, which causes dysbiosis (an imbalance) (</w:t>
      </w:r>
      <w:proofErr w:type="spellStart"/>
      <w:r>
        <w:t>Coyte</w:t>
      </w:r>
      <w:proofErr w:type="spellEnd"/>
      <w:r>
        <w:t xml:space="preserve"> et al. 2015).</w:t>
      </w:r>
    </w:p>
    <w:p w14:paraId="1CD32581" w14:textId="637C71E9" w:rsidR="008A08A4" w:rsidRDefault="008A08A4" w:rsidP="008A08A4">
      <w:pPr>
        <w:widowControl w:val="0"/>
        <w:autoSpaceDE w:val="0"/>
        <w:autoSpaceDN w:val="0"/>
        <w:adjustRightInd w:val="0"/>
        <w:spacing w:after="240"/>
        <w:ind w:firstLine="720"/>
        <w:contextualSpacing/>
      </w:pPr>
      <w:r>
        <w:rPr>
          <w:rFonts w:ascii="Calibri" w:hAnsi="Calibri" w:cs="Times"/>
          <w:noProof/>
        </w:rPr>
        <w:drawing>
          <wp:anchor distT="0" distB="0" distL="114300" distR="114300" simplePos="0" relativeHeight="251659264" behindDoc="0" locked="0" layoutInCell="1" allowOverlap="1" wp14:anchorId="18BAD470" wp14:editId="696DF50F">
            <wp:simplePos x="0" y="0"/>
            <wp:positionH relativeFrom="margin">
              <wp:posOffset>2450465</wp:posOffset>
            </wp:positionH>
            <wp:positionV relativeFrom="margin">
              <wp:posOffset>2338070</wp:posOffset>
            </wp:positionV>
            <wp:extent cx="3488055" cy="3150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ckularetal1.tiff"/>
                    <pic:cNvPicPr/>
                  </pic:nvPicPr>
                  <pic:blipFill>
                    <a:blip r:embed="rId5">
                      <a:extLst>
                        <a:ext uri="{28A0092B-C50C-407E-A947-70E740481C1C}">
                          <a14:useLocalDpi xmlns:a14="http://schemas.microsoft.com/office/drawing/2010/main" val="0"/>
                        </a:ext>
                      </a:extLst>
                    </a:blip>
                    <a:stretch>
                      <a:fillRect/>
                    </a:stretch>
                  </pic:blipFill>
                  <pic:spPr>
                    <a:xfrm>
                      <a:off x="0" y="0"/>
                      <a:ext cx="3488055" cy="3150235"/>
                    </a:xfrm>
                    <a:prstGeom prst="rect">
                      <a:avLst/>
                    </a:prstGeom>
                  </pic:spPr>
                </pic:pic>
              </a:graphicData>
            </a:graphic>
            <wp14:sizeRelH relativeFrom="margin">
              <wp14:pctWidth>0</wp14:pctWidth>
            </wp14:sizeRelH>
            <wp14:sizeRelV relativeFrom="margin">
              <wp14:pctHeight>0</wp14:pctHeight>
            </wp14:sizeRelV>
          </wp:anchor>
        </w:drawing>
      </w:r>
      <w:r w:rsidR="009F1745">
        <w:t xml:space="preserve">The role the gut microbiota plays in the formation of tumors can lead to finding therapies to prevent colon cancer. So far, there have been several studies that have associated several bacteria species with the development or prevention of CRC. </w:t>
      </w:r>
      <w:proofErr w:type="spellStart"/>
      <w:r w:rsidR="00C92EA3">
        <w:t>Zackular</w:t>
      </w:r>
      <w:proofErr w:type="spellEnd"/>
      <w:r w:rsidR="00C92EA3">
        <w:t xml:space="preserve"> et </w:t>
      </w:r>
      <w:r>
        <w:t xml:space="preserve">al. have </w:t>
      </w:r>
      <w:r w:rsidR="00C92EA3">
        <w:t xml:space="preserve">observed that changing the gut microbiome can change the rate of tumor growth and the size of the tumor. </w:t>
      </w:r>
      <w:r w:rsidR="00C92EA3" w:rsidRPr="00CF183B">
        <w:t xml:space="preserve">Of the many bacteria they found in a cancerous gut microbiome, two species </w:t>
      </w:r>
      <w:proofErr w:type="spellStart"/>
      <w:r w:rsidR="00C92EA3" w:rsidRPr="00CF183B">
        <w:rPr>
          <w:i/>
        </w:rPr>
        <w:t>Bacteriodes</w:t>
      </w:r>
      <w:proofErr w:type="spellEnd"/>
      <w:r w:rsidR="00C92EA3" w:rsidRPr="00CF183B">
        <w:rPr>
          <w:i/>
        </w:rPr>
        <w:t xml:space="preserve"> </w:t>
      </w:r>
      <w:proofErr w:type="spellStart"/>
      <w:r w:rsidR="00C92EA3" w:rsidRPr="00CF183B">
        <w:rPr>
          <w:i/>
        </w:rPr>
        <w:t>fragilis</w:t>
      </w:r>
      <w:proofErr w:type="spellEnd"/>
      <w:r w:rsidR="00C92EA3" w:rsidRPr="00CF183B">
        <w:t xml:space="preserve"> (Bf) and </w:t>
      </w:r>
      <w:proofErr w:type="spellStart"/>
      <w:r w:rsidR="00C92EA3" w:rsidRPr="00CF183B">
        <w:rPr>
          <w:i/>
        </w:rPr>
        <w:t>Bacteriodes</w:t>
      </w:r>
      <w:proofErr w:type="spellEnd"/>
      <w:r w:rsidR="00C92EA3" w:rsidRPr="00CF183B">
        <w:rPr>
          <w:i/>
        </w:rPr>
        <w:t xml:space="preserve"> </w:t>
      </w:r>
      <w:proofErr w:type="spellStart"/>
      <w:r w:rsidR="00C92EA3" w:rsidRPr="00CF183B">
        <w:rPr>
          <w:i/>
        </w:rPr>
        <w:t>thetaiotamicron</w:t>
      </w:r>
      <w:proofErr w:type="spellEnd"/>
      <w:r w:rsidR="00C92EA3" w:rsidRPr="00CF183B">
        <w:t xml:space="preserve"> (</w:t>
      </w:r>
      <w:proofErr w:type="spellStart"/>
      <w:r w:rsidR="00C92EA3" w:rsidRPr="00CF183B">
        <w:t>Bt</w:t>
      </w:r>
      <w:proofErr w:type="spellEnd"/>
      <w:r w:rsidR="00C92EA3" w:rsidRPr="00CF183B">
        <w:t>) wer</w:t>
      </w:r>
      <w:r w:rsidR="00CF183B" w:rsidRPr="00CF183B">
        <w:t>e</w:t>
      </w:r>
      <w:r w:rsidR="00C92EA3" w:rsidRPr="00CF183B">
        <w:t xml:space="preserve"> the most prominent.</w:t>
      </w:r>
      <w:r w:rsidR="00C92EA3">
        <w:t xml:space="preserve"> In an experiment to test how tumor growth was affe</w:t>
      </w:r>
      <w:r>
        <w:t xml:space="preserve">cted, </w:t>
      </w:r>
      <w:proofErr w:type="spellStart"/>
      <w:r>
        <w:t>Zackular</w:t>
      </w:r>
      <w:proofErr w:type="spellEnd"/>
      <w:r>
        <w:t xml:space="preserve"> et al. used 20 germ-free mice and split them up evenly into two groups. They took feces and bedding from healthy, untreated antibiotic mice and put it in with Group 1. They then took feces and bedding from tumor-bearing </w:t>
      </w:r>
      <w:proofErr w:type="spellStart"/>
      <w:r>
        <w:t>azoxymethane</w:t>
      </w:r>
      <w:proofErr w:type="spellEnd"/>
      <w:r>
        <w:t xml:space="preserve"> (chemical carcinogen, AOM)/dextran sodium sulfate (solvent, DSS) mice and put that with the second group (Group 2). They then split the two groups evenly again into five mice per cage (Group 1a &amp; b, Group 2a &amp; b). They then treated all the mice with AOM/DSS. In the figure, Group 1 is the “healthy community” and Group 2 is the “</w:t>
      </w:r>
      <w:proofErr w:type="spellStart"/>
      <w:r>
        <w:t>Dysbiotic</w:t>
      </w:r>
      <w:proofErr w:type="spellEnd"/>
      <w:r>
        <w:t xml:space="preserve"> community.”</w:t>
      </w:r>
      <w:r w:rsidRPr="008A08A4">
        <w:t xml:space="preserve"> </w:t>
      </w:r>
      <w:r>
        <w:t>The group of germ-free recipient mice that had feces from AOM/DSS mice (Group 2a &amp; b) had twice as many tumors as the group that had feces and bedding from healthy, untreated donor mice. The germ-free recipient mice that had feces from AOM/DSS also had a less diverse microbiome.</w:t>
      </w:r>
      <w:r w:rsidRPr="008A08A4">
        <w:rPr>
          <w:rFonts w:ascii="Calibri" w:hAnsi="Calibri" w:cs="Times"/>
          <w:noProof/>
        </w:rPr>
        <w:t xml:space="preserve"> </w:t>
      </w:r>
      <w:r>
        <w:t xml:space="preserve">There was a general increase in the populations of </w:t>
      </w:r>
      <w:proofErr w:type="spellStart"/>
      <w:r w:rsidRPr="00187A80">
        <w:rPr>
          <w:rFonts w:ascii="Calibri" w:hAnsi="Calibri"/>
          <w:i/>
        </w:rPr>
        <w:t>Bacteroides</w:t>
      </w:r>
      <w:proofErr w:type="spellEnd"/>
      <w:r w:rsidRPr="00187A80">
        <w:rPr>
          <w:rFonts w:ascii="Calibri" w:hAnsi="Calibri"/>
          <w:i/>
        </w:rPr>
        <w:t xml:space="preserve"> and </w:t>
      </w:r>
      <w:proofErr w:type="spellStart"/>
      <w:r w:rsidRPr="00187A80">
        <w:rPr>
          <w:rFonts w:ascii="Calibri" w:hAnsi="Calibri"/>
          <w:i/>
        </w:rPr>
        <w:t>Erysipelotrichaceae</w:t>
      </w:r>
      <w:proofErr w:type="spellEnd"/>
      <w:r w:rsidRPr="00187A80">
        <w:rPr>
          <w:rFonts w:ascii="Calibri" w:hAnsi="Calibri"/>
        </w:rPr>
        <w:t xml:space="preserve"> and less </w:t>
      </w:r>
      <w:proofErr w:type="spellStart"/>
      <w:r w:rsidRPr="00187A80">
        <w:rPr>
          <w:rFonts w:ascii="Calibri" w:hAnsi="Calibri" w:cs="Times"/>
          <w:i/>
          <w:iCs/>
        </w:rPr>
        <w:t>Porphyromonadaceae</w:t>
      </w:r>
      <w:proofErr w:type="spellEnd"/>
      <w:r w:rsidRPr="00187A80">
        <w:rPr>
          <w:rFonts w:ascii="Calibri" w:hAnsi="Calibri" w:cs="Times"/>
          <w:iCs/>
        </w:rPr>
        <w:t>. The healthy germ-free mice</w:t>
      </w:r>
      <w:r>
        <w:rPr>
          <w:rFonts w:ascii="Calibri" w:hAnsi="Calibri" w:cs="Times"/>
          <w:iCs/>
        </w:rPr>
        <w:t xml:space="preserve"> (Group 1a &amp;b)</w:t>
      </w:r>
      <w:r w:rsidRPr="00187A80">
        <w:rPr>
          <w:rFonts w:ascii="Calibri" w:hAnsi="Calibri"/>
        </w:rPr>
        <w:t xml:space="preserve"> </w:t>
      </w:r>
      <w:r w:rsidRPr="00187A80">
        <w:rPr>
          <w:rFonts w:ascii="Calibri" w:hAnsi="Calibri"/>
        </w:rPr>
        <w:lastRenderedPageBreak/>
        <w:t xml:space="preserve">microbiome had an increase of </w:t>
      </w:r>
      <w:proofErr w:type="spellStart"/>
      <w:r w:rsidRPr="00187A80">
        <w:rPr>
          <w:rFonts w:ascii="Calibri" w:hAnsi="Calibri"/>
          <w:i/>
        </w:rPr>
        <w:t>Odoribacter</w:t>
      </w:r>
      <w:proofErr w:type="spellEnd"/>
      <w:r w:rsidRPr="00187A80">
        <w:rPr>
          <w:rFonts w:ascii="Calibri" w:hAnsi="Calibri"/>
          <w:i/>
        </w:rPr>
        <w:t xml:space="preserve"> and </w:t>
      </w:r>
      <w:proofErr w:type="spellStart"/>
      <w:r w:rsidRPr="00187A80">
        <w:rPr>
          <w:rFonts w:ascii="Calibri" w:hAnsi="Calibri"/>
          <w:i/>
        </w:rPr>
        <w:t>Turicibacter</w:t>
      </w:r>
      <w:proofErr w:type="spellEnd"/>
      <w:r w:rsidRPr="00187A80">
        <w:rPr>
          <w:rFonts w:ascii="Calibri" w:hAnsi="Calibri"/>
          <w:i/>
        </w:rPr>
        <w:t xml:space="preserve">, </w:t>
      </w:r>
      <w:r w:rsidRPr="00187A80">
        <w:rPr>
          <w:rFonts w:ascii="Calibri" w:hAnsi="Calibri"/>
        </w:rPr>
        <w:t xml:space="preserve">which was not detected before and a decrease in </w:t>
      </w:r>
      <w:proofErr w:type="spellStart"/>
      <w:r w:rsidRPr="00187A80">
        <w:rPr>
          <w:rFonts w:ascii="Calibri" w:hAnsi="Calibri"/>
          <w:i/>
        </w:rPr>
        <w:t>Prevotella</w:t>
      </w:r>
      <w:proofErr w:type="spellEnd"/>
      <w:r w:rsidRPr="00187A80">
        <w:rPr>
          <w:rFonts w:ascii="Calibri" w:hAnsi="Calibri"/>
          <w:i/>
        </w:rPr>
        <w:t xml:space="preserve"> and </w:t>
      </w:r>
      <w:proofErr w:type="spellStart"/>
      <w:r w:rsidRPr="00187A80">
        <w:rPr>
          <w:rFonts w:ascii="Calibri" w:hAnsi="Calibri" w:cs="Times"/>
          <w:i/>
          <w:iCs/>
        </w:rPr>
        <w:t>Porphyromonadaceae</w:t>
      </w:r>
      <w:proofErr w:type="spellEnd"/>
      <w:r w:rsidRPr="00187A80">
        <w:rPr>
          <w:rFonts w:ascii="Calibri" w:hAnsi="Calibri" w:cs="Times"/>
          <w:i/>
          <w:iCs/>
        </w:rPr>
        <w:t>.</w:t>
      </w:r>
      <w:r>
        <w:rPr>
          <w:rFonts w:ascii="Calibri" w:hAnsi="Calibri" w:cs="Times"/>
          <w:iCs/>
        </w:rPr>
        <w:t xml:space="preserve"> </w:t>
      </w:r>
      <w:r w:rsidRPr="00CF183B">
        <w:rPr>
          <w:rFonts w:ascii="Calibri" w:hAnsi="Calibri" w:cs="Times"/>
          <w:iCs/>
        </w:rPr>
        <w:t>T</w:t>
      </w:r>
      <w:r w:rsidRPr="00CF183B">
        <w:rPr>
          <w:rFonts w:ascii="Calibri" w:hAnsi="Calibri" w:cs="Times"/>
        </w:rPr>
        <w:t>he authors observed that changing the microbiome changes the rate of tumor growth and the size of the tumor.</w:t>
      </w:r>
      <w:r w:rsidR="00C92EA3">
        <w:t xml:space="preserve"> </w:t>
      </w:r>
    </w:p>
    <w:p w14:paraId="1B7145F7" w14:textId="0ADF9BF5" w:rsidR="00647ED5" w:rsidRDefault="008A08A4" w:rsidP="008A08A4">
      <w:pPr>
        <w:widowControl w:val="0"/>
        <w:autoSpaceDE w:val="0"/>
        <w:autoSpaceDN w:val="0"/>
        <w:adjustRightInd w:val="0"/>
        <w:spacing w:after="240"/>
        <w:ind w:firstLine="720"/>
        <w:contextualSpacing/>
      </w:pPr>
      <w:r>
        <w:t xml:space="preserve">What is contained in Bf and </w:t>
      </w:r>
      <w:proofErr w:type="spellStart"/>
      <w:r>
        <w:t>Bt</w:t>
      </w:r>
      <w:proofErr w:type="spellEnd"/>
      <w:r>
        <w:t xml:space="preserve"> that is contributing to increased tumor growth? To answer this question, it is useful to use a combination of bioinformatics searches and </w:t>
      </w:r>
      <w:r>
        <w:rPr>
          <w:i/>
        </w:rPr>
        <w:t>in vitro</w:t>
      </w:r>
      <w:r>
        <w:t xml:space="preserve"> exp</w:t>
      </w:r>
      <w:r w:rsidR="00840EEC">
        <w:t>eriments to i</w:t>
      </w:r>
      <w:r>
        <w:t xml:space="preserve">dentify </w:t>
      </w:r>
      <w:r w:rsidR="00840EEC">
        <w:t>what these two bacteria have in common. Now, this is a giant leap, nonetheless, it is a good place to start.</w:t>
      </w:r>
    </w:p>
    <w:p w14:paraId="77A99270" w14:textId="77777777" w:rsidR="00840EEC" w:rsidRDefault="00840EEC" w:rsidP="00840EEC">
      <w:pPr>
        <w:widowControl w:val="0"/>
        <w:autoSpaceDE w:val="0"/>
        <w:autoSpaceDN w:val="0"/>
        <w:adjustRightInd w:val="0"/>
        <w:spacing w:after="240"/>
        <w:contextualSpacing/>
      </w:pPr>
    </w:p>
    <w:p w14:paraId="3F63CC12" w14:textId="66FBD1D6" w:rsidR="00840EEC" w:rsidRPr="00CF183B" w:rsidRDefault="00840EEC" w:rsidP="00840EEC">
      <w:pPr>
        <w:widowControl w:val="0"/>
        <w:autoSpaceDE w:val="0"/>
        <w:autoSpaceDN w:val="0"/>
        <w:adjustRightInd w:val="0"/>
        <w:spacing w:after="240"/>
        <w:contextualSpacing/>
        <w:rPr>
          <w:u w:val="single"/>
        </w:rPr>
      </w:pPr>
      <w:r w:rsidRPr="00CF183B">
        <w:rPr>
          <w:u w:val="single"/>
        </w:rPr>
        <w:t>Experiment</w:t>
      </w:r>
    </w:p>
    <w:p w14:paraId="5013C5E1" w14:textId="2A1A7A71" w:rsidR="006D0C34" w:rsidRDefault="004D1200" w:rsidP="00840EEC">
      <w:pPr>
        <w:widowControl w:val="0"/>
        <w:autoSpaceDE w:val="0"/>
        <w:autoSpaceDN w:val="0"/>
        <w:adjustRightInd w:val="0"/>
        <w:spacing w:after="240"/>
        <w:contextualSpacing/>
      </w:pPr>
      <w:r>
        <w:rPr>
          <w:noProof/>
        </w:rPr>
        <w:drawing>
          <wp:anchor distT="0" distB="0" distL="114300" distR="114300" simplePos="0" relativeHeight="251660288" behindDoc="0" locked="0" layoutInCell="1" allowOverlap="1" wp14:anchorId="60F85BC8" wp14:editId="2CFBDED2">
            <wp:simplePos x="0" y="0"/>
            <wp:positionH relativeFrom="margin">
              <wp:posOffset>2103514</wp:posOffset>
            </wp:positionH>
            <wp:positionV relativeFrom="margin">
              <wp:posOffset>2245360</wp:posOffset>
            </wp:positionV>
            <wp:extent cx="3737610" cy="30333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netalfig.1.tiff"/>
                    <pic:cNvPicPr/>
                  </pic:nvPicPr>
                  <pic:blipFill>
                    <a:blip r:embed="rId6">
                      <a:extLst>
                        <a:ext uri="{28A0092B-C50C-407E-A947-70E740481C1C}">
                          <a14:useLocalDpi xmlns:a14="http://schemas.microsoft.com/office/drawing/2010/main" val="0"/>
                        </a:ext>
                      </a:extLst>
                    </a:blip>
                    <a:stretch>
                      <a:fillRect/>
                    </a:stretch>
                  </pic:blipFill>
                  <pic:spPr>
                    <a:xfrm>
                      <a:off x="0" y="0"/>
                      <a:ext cx="3737610" cy="3033395"/>
                    </a:xfrm>
                    <a:prstGeom prst="rect">
                      <a:avLst/>
                    </a:prstGeom>
                  </pic:spPr>
                </pic:pic>
              </a:graphicData>
            </a:graphic>
            <wp14:sizeRelH relativeFrom="margin">
              <wp14:pctWidth>0</wp14:pctWidth>
            </wp14:sizeRelH>
            <wp14:sizeRelV relativeFrom="margin">
              <wp14:pctHeight>0</wp14:pctHeight>
            </wp14:sizeRelV>
          </wp:anchor>
        </w:drawing>
      </w:r>
      <w:r w:rsidR="008D2CD5">
        <w:t>For the</w:t>
      </w:r>
      <w:r w:rsidR="00174891">
        <w:t xml:space="preserve"> bioinformatics portion, I am</w:t>
      </w:r>
      <w:r w:rsidR="008D2CD5">
        <w:t xml:space="preserve"> using Burns et al.’s model. </w:t>
      </w:r>
      <w:r w:rsidR="008D2CD5" w:rsidRPr="0017606F">
        <w:t xml:space="preserve">They sequenced several gut microbiome bacteria looking for the genomic </w:t>
      </w:r>
      <w:r w:rsidR="008D2CD5" w:rsidRPr="00A0635A">
        <w:t>difference</w:t>
      </w:r>
      <w:r w:rsidR="005525B8" w:rsidRPr="00A0635A">
        <w:t xml:space="preserve">s measured by </w:t>
      </w:r>
      <w:r w:rsidR="00F667A3" w:rsidRPr="00A0635A">
        <w:t>the change in the abundance with</w:t>
      </w:r>
      <w:r w:rsidR="008C30CE" w:rsidRPr="00A0635A">
        <w:t>in normal microbiomes and CRC ones</w:t>
      </w:r>
      <w:r w:rsidR="00F75D2E" w:rsidRPr="00A0635A">
        <w:t xml:space="preserve">. </w:t>
      </w:r>
      <w:r w:rsidR="006D0C34" w:rsidRPr="00A0635A">
        <w:t>I will use their method and data to test in the lab the pr</w:t>
      </w:r>
      <w:r w:rsidR="00174891">
        <w:t>edictions and see if there is</w:t>
      </w:r>
      <w:r w:rsidR="006D0C34" w:rsidRPr="00A0635A">
        <w:t xml:space="preserve"> an association between</w:t>
      </w:r>
      <w:r w:rsidR="006D0C34">
        <w:t xml:space="preserve"> Bf and Bt. Burns et al. did a reciprocal </w:t>
      </w:r>
      <w:r w:rsidR="00735A84">
        <w:t>BLAST</w:t>
      </w:r>
      <w:r w:rsidR="006D0C34">
        <w:t xml:space="preserve"> comparison, where they used one bacteria as a query to blast against another bacteria’s genome. They then did a reciprocal blast in the other direction to make sure that the genes in the second bacteria were selected in the first bacteria.</w:t>
      </w:r>
    </w:p>
    <w:p w14:paraId="34F97F11" w14:textId="2FCE64FB" w:rsidR="006C1361" w:rsidRDefault="00C274FB" w:rsidP="00D22653">
      <w:pPr>
        <w:widowControl w:val="0"/>
        <w:autoSpaceDE w:val="0"/>
        <w:autoSpaceDN w:val="0"/>
        <w:adjustRightInd w:val="0"/>
        <w:spacing w:after="240"/>
        <w:contextualSpacing/>
        <w:rPr>
          <w:rFonts w:ascii="Calibri" w:hAnsi="Calibri" w:cs="Times New Roman"/>
        </w:rPr>
      </w:pPr>
      <w:proofErr w:type="spellStart"/>
      <w:r>
        <w:t>Cario</w:t>
      </w:r>
      <w:proofErr w:type="spellEnd"/>
      <w:r>
        <w:t xml:space="preserve"> discusses using different vectors to stimulate or suppress proteins that turn on/off the inflammation response that leads to </w:t>
      </w:r>
      <w:proofErr w:type="spellStart"/>
      <w:r>
        <w:t>tumorgenesis</w:t>
      </w:r>
      <w:proofErr w:type="spellEnd"/>
      <w:r>
        <w:t xml:space="preserve">. They </w:t>
      </w:r>
      <w:r w:rsidR="000E3DB5">
        <w:t xml:space="preserve">used </w:t>
      </w:r>
      <w:r w:rsidR="00B306B8">
        <w:t>P</w:t>
      </w:r>
      <w:r w:rsidR="006D4E57">
        <w:t>o</w:t>
      </w:r>
      <w:r w:rsidR="00B306B8">
        <w:t xml:space="preserve">lymerase chain reaction (PCR) </w:t>
      </w:r>
      <w:r w:rsidR="006C1361">
        <w:t xml:space="preserve">to </w:t>
      </w:r>
      <w:r w:rsidR="00B306B8">
        <w:t>amplify and isolate each target</w:t>
      </w:r>
      <w:r w:rsidR="006D4E57">
        <w:t xml:space="preserve"> gene.</w:t>
      </w:r>
      <w:r w:rsidR="00326472">
        <w:t xml:space="preserve"> PCR uses DNA polymerase to synthesize a new strand of DNA complimentary to the target strand to get a specific region of target sequence that we want to amplify. In order to do this, we must first denature the target DNA at a high temperature, around 94-95 degrees Celsius. Add DNA polymerase, which is an enzyme that makes new strands of DNA complimentary to our target </w:t>
      </w:r>
      <w:r w:rsidR="00326472" w:rsidRPr="00D208B2">
        <w:rPr>
          <w:rFonts w:ascii="Calibri" w:hAnsi="Calibri"/>
        </w:rPr>
        <w:t>sequence.</w:t>
      </w:r>
      <w:r w:rsidR="00D208B2">
        <w:rPr>
          <w:rFonts w:ascii="Calibri" w:hAnsi="Calibri"/>
        </w:rPr>
        <w:t xml:space="preserve"> According to NCBI, when doing PCR, </w:t>
      </w:r>
      <w:proofErr w:type="spellStart"/>
      <w:r w:rsidR="00D208B2">
        <w:rPr>
          <w:rFonts w:ascii="Calibri" w:hAnsi="Calibri"/>
        </w:rPr>
        <w:t>Taq</w:t>
      </w:r>
      <w:proofErr w:type="spellEnd"/>
      <w:r w:rsidR="00D208B2">
        <w:rPr>
          <w:rFonts w:ascii="Calibri" w:hAnsi="Calibri"/>
        </w:rPr>
        <w:t xml:space="preserve"> (</w:t>
      </w:r>
      <w:proofErr w:type="spellStart"/>
      <w:r w:rsidR="00D208B2">
        <w:rPr>
          <w:rFonts w:ascii="Calibri" w:hAnsi="Calibri"/>
          <w:i/>
        </w:rPr>
        <w:t>Thermis</w:t>
      </w:r>
      <w:proofErr w:type="spellEnd"/>
      <w:r w:rsidR="00D208B2">
        <w:rPr>
          <w:rFonts w:ascii="Calibri" w:hAnsi="Calibri"/>
          <w:i/>
        </w:rPr>
        <w:t xml:space="preserve"> </w:t>
      </w:r>
      <w:proofErr w:type="spellStart"/>
      <w:r w:rsidR="00D208B2">
        <w:rPr>
          <w:rFonts w:ascii="Calibri" w:hAnsi="Calibri"/>
          <w:i/>
        </w:rPr>
        <w:t>aquaticus</w:t>
      </w:r>
      <w:proofErr w:type="spellEnd"/>
      <w:r w:rsidR="00D208B2">
        <w:rPr>
          <w:rFonts w:ascii="Calibri" w:hAnsi="Calibri"/>
        </w:rPr>
        <w:t>) is the most common DNA polymerase used because it is heat resistant (NBCI</w:t>
      </w:r>
      <w:r w:rsidR="00174891">
        <w:rPr>
          <w:rFonts w:ascii="Calibri" w:hAnsi="Calibri"/>
        </w:rPr>
        <w:t xml:space="preserve"> 2016</w:t>
      </w:r>
      <w:r w:rsidR="00D208B2">
        <w:rPr>
          <w:rFonts w:ascii="Calibri" w:hAnsi="Calibri"/>
        </w:rPr>
        <w:t xml:space="preserve">). </w:t>
      </w:r>
      <w:proofErr w:type="spellStart"/>
      <w:r w:rsidR="00D208B2">
        <w:rPr>
          <w:rFonts w:ascii="Calibri" w:hAnsi="Calibri"/>
        </w:rPr>
        <w:t>Taq</w:t>
      </w:r>
      <w:proofErr w:type="spellEnd"/>
      <w:r w:rsidR="00D208B2">
        <w:rPr>
          <w:rFonts w:ascii="Calibri" w:hAnsi="Calibri"/>
        </w:rPr>
        <w:t xml:space="preserve"> generates new DNA</w:t>
      </w:r>
      <w:r w:rsidR="00326472" w:rsidRPr="00D208B2">
        <w:rPr>
          <w:rFonts w:ascii="Calibri" w:hAnsi="Calibri"/>
        </w:rPr>
        <w:t xml:space="preserve"> </w:t>
      </w:r>
      <w:r w:rsidR="00D208B2">
        <w:rPr>
          <w:rFonts w:ascii="Calibri" w:hAnsi="Calibri"/>
        </w:rPr>
        <w:t xml:space="preserve">by using target DNA as a template and primers. Primers are short pieces of single stranded DNA that are complementary to the target sequence. </w:t>
      </w:r>
      <w:r w:rsidR="00326472" w:rsidRPr="00D208B2">
        <w:rPr>
          <w:rFonts w:ascii="Calibri" w:hAnsi="Calibri"/>
        </w:rPr>
        <w:t xml:space="preserve">For Bf and </w:t>
      </w:r>
      <w:proofErr w:type="spellStart"/>
      <w:r w:rsidR="00326472" w:rsidRPr="00D208B2">
        <w:rPr>
          <w:rFonts w:ascii="Calibri" w:hAnsi="Calibri"/>
        </w:rPr>
        <w:t>Bt</w:t>
      </w:r>
      <w:proofErr w:type="spellEnd"/>
      <w:r w:rsidR="00326472" w:rsidRPr="00D208B2">
        <w:rPr>
          <w:rFonts w:ascii="Calibri" w:hAnsi="Calibri"/>
        </w:rPr>
        <w:t xml:space="preserve">, </w:t>
      </w:r>
      <w:proofErr w:type="spellStart"/>
      <w:r w:rsidR="00326472" w:rsidRPr="00D208B2">
        <w:rPr>
          <w:rFonts w:ascii="Calibri" w:hAnsi="Calibri"/>
        </w:rPr>
        <w:t>Mat</w:t>
      </w:r>
      <w:r w:rsidR="00D208B2" w:rsidRPr="00D208B2">
        <w:rPr>
          <w:rFonts w:ascii="Calibri" w:hAnsi="Calibri"/>
        </w:rPr>
        <w:t>suki</w:t>
      </w:r>
      <w:proofErr w:type="spellEnd"/>
      <w:r w:rsidR="00D208B2" w:rsidRPr="00D208B2">
        <w:rPr>
          <w:rFonts w:ascii="Calibri" w:hAnsi="Calibri"/>
        </w:rPr>
        <w:t xml:space="preserve"> et al found the primers were g-</w:t>
      </w:r>
      <w:proofErr w:type="spellStart"/>
      <w:r w:rsidR="00D208B2" w:rsidRPr="00D208B2">
        <w:rPr>
          <w:rFonts w:ascii="Calibri" w:hAnsi="Calibri"/>
        </w:rPr>
        <w:t>Brfa</w:t>
      </w:r>
      <w:proofErr w:type="spellEnd"/>
      <w:r w:rsidR="00D208B2" w:rsidRPr="00D208B2">
        <w:rPr>
          <w:rFonts w:ascii="Calibri" w:hAnsi="Calibri"/>
        </w:rPr>
        <w:t>-F (forward primer) 5’-</w:t>
      </w:r>
      <w:r w:rsidR="00D208B2">
        <w:rPr>
          <w:rFonts w:ascii="Calibri" w:hAnsi="Calibri" w:cs="Times New Roman"/>
        </w:rPr>
        <w:t>ATAGCCTTTCGAAA-</w:t>
      </w:r>
      <w:r w:rsidR="00D208B2" w:rsidRPr="00D208B2">
        <w:rPr>
          <w:rFonts w:ascii="Calibri" w:hAnsi="Calibri" w:cs="Times New Roman"/>
        </w:rPr>
        <w:t>3′ and g-</w:t>
      </w:r>
      <w:proofErr w:type="spellStart"/>
      <w:r w:rsidR="00D208B2" w:rsidRPr="00D208B2">
        <w:rPr>
          <w:rFonts w:ascii="Calibri" w:hAnsi="Calibri" w:cs="Times New Roman"/>
        </w:rPr>
        <w:t>Bfra</w:t>
      </w:r>
      <w:proofErr w:type="spellEnd"/>
      <w:r w:rsidR="00D208B2" w:rsidRPr="00D208B2">
        <w:rPr>
          <w:rFonts w:ascii="Calibri" w:hAnsi="Calibri" w:cs="Times New Roman"/>
        </w:rPr>
        <w:t xml:space="preserve">-R (reverse primer) </w:t>
      </w:r>
      <w:r w:rsidR="00D208B2">
        <w:rPr>
          <w:rFonts w:ascii="Calibri" w:hAnsi="Calibri" w:cs="Times New Roman"/>
        </w:rPr>
        <w:t>3′-ATTTTAACGTCAACTATGACC-</w:t>
      </w:r>
      <w:r w:rsidR="00D208B2" w:rsidRPr="00D208B2">
        <w:rPr>
          <w:rFonts w:ascii="Calibri" w:hAnsi="Calibri" w:cs="Times New Roman"/>
        </w:rPr>
        <w:t>5′</w:t>
      </w:r>
      <w:r w:rsidR="00D208B2">
        <w:rPr>
          <w:rFonts w:ascii="Calibri" w:hAnsi="Calibri" w:cs="Times New Roman"/>
        </w:rPr>
        <w:t xml:space="preserve"> (</w:t>
      </w:r>
      <w:proofErr w:type="spellStart"/>
      <w:r w:rsidR="00D208B2">
        <w:rPr>
          <w:rFonts w:ascii="Calibri" w:hAnsi="Calibri" w:cs="Times New Roman"/>
        </w:rPr>
        <w:t>Matsuki</w:t>
      </w:r>
      <w:proofErr w:type="spellEnd"/>
      <w:r w:rsidR="00D208B2">
        <w:rPr>
          <w:rFonts w:ascii="Calibri" w:hAnsi="Calibri" w:cs="Times New Roman"/>
        </w:rPr>
        <w:t xml:space="preserve"> et al. 2002).</w:t>
      </w:r>
      <w:r w:rsidR="00B72F4F">
        <w:rPr>
          <w:rFonts w:ascii="Calibri" w:hAnsi="Calibri" w:cs="Times New Roman"/>
        </w:rPr>
        <w:t xml:space="preserve"> Ideally, these primers will bind to the specific genes we went to amplify, allowing </w:t>
      </w:r>
      <w:proofErr w:type="spellStart"/>
      <w:r w:rsidR="00B72F4F">
        <w:rPr>
          <w:rFonts w:ascii="Calibri" w:hAnsi="Calibri" w:cs="Times New Roman"/>
        </w:rPr>
        <w:t>Taq</w:t>
      </w:r>
      <w:proofErr w:type="spellEnd"/>
      <w:r w:rsidR="00B72F4F">
        <w:rPr>
          <w:rFonts w:ascii="Calibri" w:hAnsi="Calibri" w:cs="Times New Roman"/>
        </w:rPr>
        <w:t xml:space="preserve"> to bind and start.</w:t>
      </w:r>
      <w:bookmarkStart w:id="0" w:name="_GoBack"/>
      <w:bookmarkEnd w:id="0"/>
      <w:r w:rsidR="00D208B2">
        <w:rPr>
          <w:rFonts w:ascii="Calibri" w:hAnsi="Calibri" w:cs="Times New Roman"/>
        </w:rPr>
        <w:t xml:space="preserve"> </w:t>
      </w:r>
      <w:proofErr w:type="spellStart"/>
      <w:r w:rsidR="00D208B2">
        <w:rPr>
          <w:rFonts w:ascii="Calibri" w:hAnsi="Calibri" w:cs="Times New Roman"/>
        </w:rPr>
        <w:t>Taq</w:t>
      </w:r>
      <w:proofErr w:type="spellEnd"/>
      <w:r w:rsidR="00D208B2">
        <w:rPr>
          <w:rFonts w:ascii="Calibri" w:hAnsi="Calibri" w:cs="Times New Roman"/>
        </w:rPr>
        <w:t xml:space="preserve"> will begin synthesizing new DNA from the end of the primer</w:t>
      </w:r>
      <w:r w:rsidR="00CF183B">
        <w:rPr>
          <w:rFonts w:ascii="Calibri" w:hAnsi="Calibri" w:cs="Times New Roman"/>
        </w:rPr>
        <w:t xml:space="preserve"> onward</w:t>
      </w:r>
      <w:r w:rsidR="00D208B2">
        <w:rPr>
          <w:rFonts w:ascii="Calibri" w:hAnsi="Calibri" w:cs="Times New Roman"/>
        </w:rPr>
        <w:t>.</w:t>
      </w:r>
      <w:r w:rsidR="00D22653">
        <w:rPr>
          <w:rFonts w:ascii="Calibri" w:hAnsi="Calibri" w:cs="Times New Roman"/>
        </w:rPr>
        <w:t xml:space="preserve"> Add </w:t>
      </w:r>
      <w:proofErr w:type="spellStart"/>
      <w:r w:rsidR="00D22653">
        <w:rPr>
          <w:rFonts w:ascii="Calibri" w:hAnsi="Calibri" w:cs="Times New Roman"/>
        </w:rPr>
        <w:t>deoxynucleotide</w:t>
      </w:r>
      <w:proofErr w:type="spellEnd"/>
      <w:r w:rsidR="00D22653">
        <w:rPr>
          <w:rFonts w:ascii="Calibri" w:hAnsi="Calibri" w:cs="Times New Roman"/>
        </w:rPr>
        <w:t xml:space="preserve"> triphosphates (dNTPs), which are single units of bases A, T, G, and C. </w:t>
      </w:r>
      <w:proofErr w:type="spellStart"/>
      <w:r w:rsidR="00D22653">
        <w:rPr>
          <w:rFonts w:ascii="Calibri" w:hAnsi="Calibri" w:cs="Times New Roman"/>
        </w:rPr>
        <w:t>Taq</w:t>
      </w:r>
      <w:proofErr w:type="spellEnd"/>
      <w:r w:rsidR="00D22653">
        <w:rPr>
          <w:rFonts w:ascii="Calibri" w:hAnsi="Calibri" w:cs="Times New Roman"/>
        </w:rPr>
        <w:t xml:space="preserve"> will use the</w:t>
      </w:r>
      <w:r w:rsidR="00CF183B">
        <w:rPr>
          <w:rFonts w:ascii="Calibri" w:hAnsi="Calibri" w:cs="Times New Roman"/>
        </w:rPr>
        <w:t>se</w:t>
      </w:r>
      <w:r w:rsidR="00D22653">
        <w:rPr>
          <w:rFonts w:ascii="Calibri" w:hAnsi="Calibri" w:cs="Times New Roman"/>
        </w:rPr>
        <w:t xml:space="preserve"> dNTPs as the building blocks for the new DNA strand. </w:t>
      </w:r>
    </w:p>
    <w:p w14:paraId="7B22A211" w14:textId="07BA6701" w:rsidR="00F01569" w:rsidRDefault="00D22653" w:rsidP="002579D6">
      <w:pPr>
        <w:widowControl w:val="0"/>
        <w:autoSpaceDE w:val="0"/>
        <w:autoSpaceDN w:val="0"/>
        <w:adjustRightInd w:val="0"/>
        <w:spacing w:after="240"/>
        <w:ind w:firstLine="720"/>
        <w:contextualSpacing/>
      </w:pPr>
      <w:r>
        <w:rPr>
          <w:rFonts w:ascii="Calibri" w:hAnsi="Calibri" w:cs="Times New Roman"/>
        </w:rPr>
        <w:t>Through PCR, we can exponentially amplify the target sequence</w:t>
      </w:r>
      <w:r w:rsidR="001B7F9B">
        <w:rPr>
          <w:rFonts w:ascii="Calibri" w:hAnsi="Calibri" w:cs="Times New Roman"/>
        </w:rPr>
        <w:t xml:space="preserve"> and make a larger quantity of gene</w:t>
      </w:r>
      <w:r>
        <w:rPr>
          <w:rFonts w:ascii="Calibri" w:hAnsi="Calibri" w:cs="Times New Roman"/>
        </w:rPr>
        <w:t>.</w:t>
      </w:r>
      <w:r>
        <w:rPr>
          <w:rFonts w:ascii="Calibri" w:hAnsi="Calibri"/>
        </w:rPr>
        <w:t xml:space="preserve"> </w:t>
      </w:r>
      <w:r w:rsidR="006D4E57">
        <w:t>In this experiment, we are amplifying an expression vector as a plasmid</w:t>
      </w:r>
      <w:r w:rsidR="00337BE7">
        <w:t xml:space="preserve"> for several genes that Bf &amp; </w:t>
      </w:r>
      <w:proofErr w:type="spellStart"/>
      <w:r w:rsidR="00337BE7">
        <w:t>Bt</w:t>
      </w:r>
      <w:proofErr w:type="spellEnd"/>
      <w:r w:rsidR="00337BE7">
        <w:t xml:space="preserve"> have in common</w:t>
      </w:r>
      <w:r w:rsidR="006D4E57">
        <w:t xml:space="preserve">. </w:t>
      </w:r>
      <w:r w:rsidR="00F01569">
        <w:t>A plasmid is a chromosomal DNA molecule found in bacteria that usually carry gene(s) that are beneficial but not ne</w:t>
      </w:r>
      <w:r w:rsidR="00174891">
        <w:t>cessary for the cell (</w:t>
      </w:r>
      <w:proofErr w:type="spellStart"/>
      <w:r w:rsidR="00174891">
        <w:t>Linott</w:t>
      </w:r>
      <w:proofErr w:type="spellEnd"/>
      <w:r w:rsidR="00174891">
        <w:t xml:space="preserve"> 2015</w:t>
      </w:r>
      <w:r w:rsidR="00F01569">
        <w:t xml:space="preserve">). </w:t>
      </w:r>
      <w:r w:rsidR="00793478">
        <w:t>An e</w:t>
      </w:r>
      <w:r w:rsidR="006D4E57">
        <w:t xml:space="preserve">xpression vector is </w:t>
      </w:r>
      <w:r>
        <w:t xml:space="preserve">a synthetic </w:t>
      </w:r>
      <w:r w:rsidR="00F01569">
        <w:t xml:space="preserve">plasmid </w:t>
      </w:r>
      <w:r w:rsidR="00337BE7">
        <w:rPr>
          <w:noProof/>
        </w:rPr>
        <w:drawing>
          <wp:anchor distT="0" distB="0" distL="114300" distR="114300" simplePos="0" relativeHeight="251661312" behindDoc="0" locked="0" layoutInCell="1" allowOverlap="1" wp14:anchorId="05D7DA33" wp14:editId="266EB609">
            <wp:simplePos x="0" y="0"/>
            <wp:positionH relativeFrom="margin">
              <wp:posOffset>3020695</wp:posOffset>
            </wp:positionH>
            <wp:positionV relativeFrom="margin">
              <wp:posOffset>0</wp:posOffset>
            </wp:positionV>
            <wp:extent cx="2905760" cy="25171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ressionvector.gif"/>
                    <pic:cNvPicPr/>
                  </pic:nvPicPr>
                  <pic:blipFill>
                    <a:blip r:embed="rId7">
                      <a:extLst>
                        <a:ext uri="{28A0092B-C50C-407E-A947-70E740481C1C}">
                          <a14:useLocalDpi xmlns:a14="http://schemas.microsoft.com/office/drawing/2010/main" val="0"/>
                        </a:ext>
                      </a:extLst>
                    </a:blip>
                    <a:stretch>
                      <a:fillRect/>
                    </a:stretch>
                  </pic:blipFill>
                  <pic:spPr>
                    <a:xfrm>
                      <a:off x="0" y="0"/>
                      <a:ext cx="2905760" cy="2517140"/>
                    </a:xfrm>
                    <a:prstGeom prst="rect">
                      <a:avLst/>
                    </a:prstGeom>
                  </pic:spPr>
                </pic:pic>
              </a:graphicData>
            </a:graphic>
            <wp14:sizeRelH relativeFrom="margin">
              <wp14:pctWidth>0</wp14:pctWidth>
            </wp14:sizeRelH>
            <wp14:sizeRelV relativeFrom="margin">
              <wp14:pctHeight>0</wp14:pctHeight>
            </wp14:sizeRelV>
          </wp:anchor>
        </w:drawing>
      </w:r>
      <w:r w:rsidR="00F01569">
        <w:t>that is created to express genes and a myriad of other things</w:t>
      </w:r>
      <w:r w:rsidR="00174891">
        <w:t xml:space="preserve"> (</w:t>
      </w:r>
      <w:proofErr w:type="spellStart"/>
      <w:r w:rsidR="00174891">
        <w:t>Linott</w:t>
      </w:r>
      <w:proofErr w:type="spellEnd"/>
      <w:r w:rsidR="00174891">
        <w:t xml:space="preserve"> 2015</w:t>
      </w:r>
      <w:r w:rsidR="00793478">
        <w:t xml:space="preserve">). </w:t>
      </w:r>
      <w:r w:rsidR="00B13781">
        <w:t xml:space="preserve">Here, we are adding it in the bacteria </w:t>
      </w:r>
      <w:r w:rsidR="00B13781" w:rsidRPr="00F01569">
        <w:rPr>
          <w:i/>
        </w:rPr>
        <w:t>Escherichia coli</w:t>
      </w:r>
      <w:r w:rsidR="00337BE7">
        <w:t xml:space="preserve"> so when the bacteria </w:t>
      </w:r>
      <w:r w:rsidR="00B13781">
        <w:t>undergo replication, the plasmid undergo</w:t>
      </w:r>
      <w:r w:rsidR="00337BE7">
        <w:t>es</w:t>
      </w:r>
      <w:r w:rsidR="00B13781">
        <w:t xml:space="preserve"> transcription</w:t>
      </w:r>
      <w:r w:rsidR="00CF183B">
        <w:t xml:space="preserve"> and translation and pop out </w:t>
      </w:r>
      <w:r w:rsidR="00B13781">
        <w:t xml:space="preserve">a protein. </w:t>
      </w:r>
      <w:r w:rsidR="001B7F9B">
        <w:t>W</w:t>
      </w:r>
      <w:r w:rsidR="00F01569">
        <w:t>e</w:t>
      </w:r>
      <w:r w:rsidR="001B7F9B">
        <w:t xml:space="preserve"> then</w:t>
      </w:r>
      <w:r w:rsidR="00F01569">
        <w:t xml:space="preserve"> lyse the cells with detergent </w:t>
      </w:r>
      <w:r w:rsidR="007E6120">
        <w:rPr>
          <w:noProof/>
        </w:rPr>
        <mc:AlternateContent>
          <mc:Choice Requires="wps">
            <w:drawing>
              <wp:anchor distT="0" distB="0" distL="114300" distR="114300" simplePos="0" relativeHeight="251662336" behindDoc="0" locked="0" layoutInCell="1" allowOverlap="1" wp14:anchorId="77DD12C0" wp14:editId="35FE9D8A">
                <wp:simplePos x="0" y="0"/>
                <wp:positionH relativeFrom="column">
                  <wp:posOffset>4164965</wp:posOffset>
                </wp:positionH>
                <wp:positionV relativeFrom="paragraph">
                  <wp:posOffset>1946275</wp:posOffset>
                </wp:positionV>
                <wp:extent cx="800100" cy="228600"/>
                <wp:effectExtent l="0" t="0" r="12700" b="0"/>
                <wp:wrapThrough wrapText="bothSides">
                  <wp:wrapPolygon edited="0">
                    <wp:start x="0" y="0"/>
                    <wp:lineTo x="0" y="19200"/>
                    <wp:lineTo x="21257" y="19200"/>
                    <wp:lineTo x="21257" y="0"/>
                    <wp:lineTo x="0" y="0"/>
                  </wp:wrapPolygon>
                </wp:wrapThrough>
                <wp:docPr id="4" name="Rectangle 4"/>
                <wp:cNvGraphicFramePr/>
                <a:graphic xmlns:a="http://schemas.openxmlformats.org/drawingml/2006/main">
                  <a:graphicData uri="http://schemas.microsoft.com/office/word/2010/wordprocessingShape">
                    <wps:wsp>
                      <wps:cNvSpPr/>
                      <wps:spPr>
                        <a:xfrm>
                          <a:off x="0" y="0"/>
                          <a:ext cx="800100" cy="2286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3F476" id="Rectangle 4" o:spid="_x0000_s1026" style="position:absolute;margin-left:327.95pt;margin-top:153.25pt;width:63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" fillcolor="white [3201]" stroked="f" strokeweight="1pt">
                <w10:wrap type="through"/>
              </v:rect>
            </w:pict>
          </mc:Fallback>
        </mc:AlternateContent>
      </w:r>
      <w:r w:rsidR="00F01569">
        <w:t>and separate the plasmid DNA from the other cel</w:t>
      </w:r>
      <w:r w:rsidR="002579D6">
        <w:t>l components by centrifugation</w:t>
      </w:r>
      <w:r w:rsidR="001B7F9B">
        <w:t xml:space="preserve">. </w:t>
      </w:r>
    </w:p>
    <w:p w14:paraId="7298B244" w14:textId="1A3E6991" w:rsidR="00840EEC" w:rsidRDefault="00C274FB" w:rsidP="00D22653">
      <w:pPr>
        <w:widowControl w:val="0"/>
        <w:autoSpaceDE w:val="0"/>
        <w:autoSpaceDN w:val="0"/>
        <w:adjustRightInd w:val="0"/>
        <w:spacing w:after="240"/>
        <w:ind w:firstLine="720"/>
        <w:contextualSpacing/>
      </w:pPr>
      <w:r>
        <w:t>Next, we isolate the protein</w:t>
      </w:r>
      <w:r w:rsidR="00337BE7">
        <w:t xml:space="preserve"> made </w:t>
      </w:r>
      <w:r w:rsidR="00CF183B">
        <w:t>by</w:t>
      </w:r>
      <w:r w:rsidRPr="00337BE7">
        <w:t xml:space="preserve"> </w:t>
      </w:r>
      <w:r w:rsidR="00CF183B">
        <w:t>eluting</w:t>
      </w:r>
      <w:r w:rsidR="00337BE7">
        <w:t xml:space="preserve"> with buffer and</w:t>
      </w:r>
      <w:r w:rsidR="00CF183B">
        <w:t xml:space="preserve"> then</w:t>
      </w:r>
      <w:r w:rsidR="00337BE7">
        <w:t xml:space="preserve"> feed the</w:t>
      </w:r>
      <w:r>
        <w:t xml:space="preserve"> protein ext</w:t>
      </w:r>
      <w:r w:rsidR="00337BE7">
        <w:t>ract</w:t>
      </w:r>
      <w:r w:rsidR="00B306B8">
        <w:t xml:space="preserve"> to </w:t>
      </w:r>
      <w:r w:rsidR="00CF183B">
        <w:t xml:space="preserve">colorectal </w:t>
      </w:r>
      <w:r w:rsidR="00B306B8">
        <w:t>tumor cells</w:t>
      </w:r>
      <w:r w:rsidR="00CF183B">
        <w:t xml:space="preserve"> and</w:t>
      </w:r>
      <w:r w:rsidR="00B306B8">
        <w:t xml:space="preserve"> </w:t>
      </w:r>
      <w:r w:rsidR="00CF183B">
        <w:t>see if the tumor size decreases</w:t>
      </w:r>
      <w:r w:rsidR="00337BE7">
        <w:t>.</w:t>
      </w:r>
    </w:p>
    <w:p w14:paraId="4EE10333" w14:textId="77777777" w:rsidR="00CF183B" w:rsidRPr="00D22653" w:rsidRDefault="00CF183B" w:rsidP="00CF183B">
      <w:pPr>
        <w:widowControl w:val="0"/>
        <w:autoSpaceDE w:val="0"/>
        <w:autoSpaceDN w:val="0"/>
        <w:adjustRightInd w:val="0"/>
        <w:spacing w:after="240"/>
        <w:contextualSpacing/>
        <w:rPr>
          <w:rFonts w:ascii="Calibri" w:hAnsi="Calibri"/>
        </w:rPr>
      </w:pPr>
    </w:p>
    <w:p w14:paraId="34F3433B" w14:textId="7366EEB8" w:rsidR="00CF183B" w:rsidRPr="00CF183B" w:rsidRDefault="00CF183B" w:rsidP="00CF183B">
      <w:pPr>
        <w:widowControl w:val="0"/>
        <w:autoSpaceDE w:val="0"/>
        <w:autoSpaceDN w:val="0"/>
        <w:adjustRightInd w:val="0"/>
        <w:spacing w:after="240"/>
        <w:contextualSpacing/>
        <w:rPr>
          <w:u w:val="single"/>
        </w:rPr>
      </w:pPr>
      <w:r w:rsidRPr="00CF183B">
        <w:rPr>
          <w:u w:val="single"/>
        </w:rPr>
        <w:t>Results</w:t>
      </w:r>
    </w:p>
    <w:p w14:paraId="2FE3A636" w14:textId="150E3EEC" w:rsidR="00D22653" w:rsidRDefault="00337BE7" w:rsidP="00CF183B">
      <w:pPr>
        <w:widowControl w:val="0"/>
        <w:autoSpaceDE w:val="0"/>
        <w:autoSpaceDN w:val="0"/>
        <w:adjustRightInd w:val="0"/>
        <w:spacing w:after="240"/>
        <w:contextualSpacing/>
      </w:pPr>
      <w:r>
        <w:t xml:space="preserve">The results can tell us whether these bacteria have a gene or something that can be used to decrease </w:t>
      </w:r>
      <w:proofErr w:type="spellStart"/>
      <w:r>
        <w:t>tumorgenesi</w:t>
      </w:r>
      <w:r>
        <w:t>s</w:t>
      </w:r>
      <w:proofErr w:type="spellEnd"/>
      <w:r>
        <w:t xml:space="preserve">. </w:t>
      </w:r>
      <w:r>
        <w:t>It can also lead to more questions, like whether or not o</w:t>
      </w:r>
      <w:r>
        <w:t>ther bacteria have that gene, or is that gene the only one?</w:t>
      </w:r>
      <w:r>
        <w:t xml:space="preserve"> Does it act alone or in tandem with others? Does a protein arise out of it that can be used?</w:t>
      </w:r>
      <w:r>
        <w:t xml:space="preserve"> </w:t>
      </w:r>
      <w:r w:rsidR="00CF183B">
        <w:t>Some pitfalls are: i</w:t>
      </w:r>
      <w:r>
        <w:t>f there is no decrease in tumor growth,</w:t>
      </w:r>
      <w:r w:rsidR="00CF183B">
        <w:t xml:space="preserve"> we would</w:t>
      </w:r>
      <w:r>
        <w:t xml:space="preserve"> have to look at other factors or something</w:t>
      </w:r>
      <w:r w:rsidR="00174891">
        <w:t xml:space="preserve"> else</w:t>
      </w:r>
      <w:r>
        <w:t xml:space="preserve"> common to the bacteria</w:t>
      </w:r>
      <w:r>
        <w:t xml:space="preserve">. The main limitation of </w:t>
      </w:r>
      <w:r w:rsidR="00CF183B">
        <w:t xml:space="preserve">the </w:t>
      </w:r>
      <w:r>
        <w:t>experiment</w:t>
      </w:r>
      <w:r>
        <w:t xml:space="preserve"> </w:t>
      </w:r>
      <w:r>
        <w:t xml:space="preserve">is that </w:t>
      </w:r>
      <w:r>
        <w:t xml:space="preserve">this is a very controlled setting so it would be very difficult to state </w:t>
      </w:r>
      <w:r>
        <w:t>what would work in a variable</w:t>
      </w:r>
      <w:r>
        <w:t xml:space="preserve"> environment like the gut microbiome</w:t>
      </w:r>
      <w:r>
        <w:t>.</w:t>
      </w:r>
    </w:p>
    <w:p w14:paraId="23E2BFB5" w14:textId="77777777" w:rsidR="00174891" w:rsidRDefault="00174891" w:rsidP="00CF183B">
      <w:pPr>
        <w:widowControl w:val="0"/>
        <w:autoSpaceDE w:val="0"/>
        <w:autoSpaceDN w:val="0"/>
        <w:adjustRightInd w:val="0"/>
        <w:spacing w:after="240"/>
        <w:contextualSpacing/>
      </w:pPr>
    </w:p>
    <w:p w14:paraId="4CE14C55" w14:textId="77777777" w:rsidR="00174891" w:rsidRDefault="00174891" w:rsidP="00CF183B">
      <w:pPr>
        <w:widowControl w:val="0"/>
        <w:autoSpaceDE w:val="0"/>
        <w:autoSpaceDN w:val="0"/>
        <w:adjustRightInd w:val="0"/>
        <w:spacing w:after="240"/>
        <w:contextualSpacing/>
      </w:pPr>
    </w:p>
    <w:p w14:paraId="7A3A40F3" w14:textId="77777777" w:rsidR="00174891" w:rsidRDefault="00174891" w:rsidP="00CF183B">
      <w:pPr>
        <w:widowControl w:val="0"/>
        <w:autoSpaceDE w:val="0"/>
        <w:autoSpaceDN w:val="0"/>
        <w:adjustRightInd w:val="0"/>
        <w:spacing w:after="240"/>
        <w:contextualSpacing/>
      </w:pPr>
    </w:p>
    <w:p w14:paraId="27DAB5F2" w14:textId="77777777" w:rsidR="00174891" w:rsidRDefault="00174891" w:rsidP="00CF183B">
      <w:pPr>
        <w:widowControl w:val="0"/>
        <w:autoSpaceDE w:val="0"/>
        <w:autoSpaceDN w:val="0"/>
        <w:adjustRightInd w:val="0"/>
        <w:spacing w:after="240"/>
        <w:contextualSpacing/>
      </w:pPr>
    </w:p>
    <w:p w14:paraId="0C82CE92" w14:textId="329F9707" w:rsidR="00174891" w:rsidRPr="00174891" w:rsidRDefault="00174891" w:rsidP="00CF183B">
      <w:pPr>
        <w:widowControl w:val="0"/>
        <w:autoSpaceDE w:val="0"/>
        <w:autoSpaceDN w:val="0"/>
        <w:adjustRightInd w:val="0"/>
        <w:spacing w:after="240"/>
        <w:contextualSpacing/>
        <w:rPr>
          <w:u w:val="single"/>
        </w:rPr>
      </w:pPr>
      <w:r w:rsidRPr="00174891">
        <w:rPr>
          <w:u w:val="single"/>
        </w:rPr>
        <w:t>References</w:t>
      </w:r>
    </w:p>
    <w:p w14:paraId="5136CBE3" w14:textId="77777777" w:rsidR="00174891" w:rsidRPr="00BA1FF2" w:rsidRDefault="00174891" w:rsidP="00174891">
      <w:pPr>
        <w:pStyle w:val="NormalWeb"/>
        <w:ind w:left="480" w:hanging="480"/>
        <w:rPr>
          <w:rFonts w:ascii="Calibri" w:hAnsi="Calibri"/>
        </w:rPr>
      </w:pPr>
      <w:r w:rsidRPr="00BA1FF2">
        <w:rPr>
          <w:rFonts w:ascii="Calibri" w:hAnsi="Calibri"/>
        </w:rPr>
        <w:t xml:space="preserve">Burns, Michael B et al. “Virulence Genes Are a Signature of the Microbiome in the Colorectal Tumor Microenvironment.” </w:t>
      </w:r>
      <w:r w:rsidRPr="00BA1FF2">
        <w:rPr>
          <w:rFonts w:ascii="Calibri" w:hAnsi="Calibri"/>
          <w:i/>
          <w:iCs/>
        </w:rPr>
        <w:t>Genome Medicine</w:t>
      </w:r>
      <w:r w:rsidRPr="00BA1FF2">
        <w:rPr>
          <w:rFonts w:ascii="Calibri" w:hAnsi="Calibri"/>
        </w:rPr>
        <w:t xml:space="preserve"> (2015): 1–12. Web.</w:t>
      </w:r>
    </w:p>
    <w:p w14:paraId="3E38AC5D" w14:textId="77777777" w:rsidR="00174891" w:rsidRPr="00BA1FF2" w:rsidRDefault="00174891" w:rsidP="00174891">
      <w:pPr>
        <w:pStyle w:val="NormalWeb"/>
        <w:ind w:left="480" w:hanging="480"/>
        <w:rPr>
          <w:rFonts w:ascii="Calibri" w:hAnsi="Calibri"/>
        </w:rPr>
      </w:pPr>
      <w:proofErr w:type="spellStart"/>
      <w:r w:rsidRPr="00BA1FF2">
        <w:rPr>
          <w:rFonts w:ascii="Calibri" w:hAnsi="Calibri"/>
        </w:rPr>
        <w:t>Cario</w:t>
      </w:r>
      <w:proofErr w:type="spellEnd"/>
      <w:r w:rsidRPr="00BA1FF2">
        <w:rPr>
          <w:rFonts w:ascii="Calibri" w:hAnsi="Calibri"/>
        </w:rPr>
        <w:t>, Elke. “Microbiota and Innate Immunity in Intestinal Inflammation and Neoplasia.” (2013): 85–91. Web.</w:t>
      </w:r>
    </w:p>
    <w:p w14:paraId="1F395104" w14:textId="77777777" w:rsidR="00174891" w:rsidRPr="00BA1FF2" w:rsidRDefault="00174891" w:rsidP="00174891">
      <w:pPr>
        <w:pStyle w:val="NormalWeb"/>
        <w:ind w:left="480" w:hanging="480"/>
        <w:rPr>
          <w:rFonts w:ascii="Calibri" w:hAnsi="Calibri"/>
        </w:rPr>
      </w:pPr>
      <w:r w:rsidRPr="00BA1FF2">
        <w:rPr>
          <w:rFonts w:ascii="Calibri" w:hAnsi="Calibri"/>
        </w:rPr>
        <w:t xml:space="preserve">Cho, Margaret and Janell Carter. “The Interrelationships of the Gut Microbiome and Inflammation in Colorectal </w:t>
      </w:r>
      <w:proofErr w:type="spellStart"/>
      <w:r w:rsidRPr="00BA1FF2">
        <w:rPr>
          <w:rFonts w:ascii="Calibri" w:hAnsi="Calibri"/>
        </w:rPr>
        <w:t>Carncinogenesis</w:t>
      </w:r>
      <w:proofErr w:type="spellEnd"/>
      <w:r w:rsidRPr="00BA1FF2">
        <w:rPr>
          <w:rFonts w:ascii="Calibri" w:hAnsi="Calibri"/>
        </w:rPr>
        <w:t>”. 34.2014 (2016): 699–710. Web.</w:t>
      </w:r>
    </w:p>
    <w:p w14:paraId="74E5C923" w14:textId="77777777" w:rsidR="00174891" w:rsidRPr="00BA1FF2" w:rsidRDefault="00174891" w:rsidP="00174891">
      <w:pPr>
        <w:pStyle w:val="NormalWeb"/>
        <w:ind w:left="480" w:hanging="480"/>
        <w:rPr>
          <w:rFonts w:ascii="Calibri" w:hAnsi="Calibri"/>
        </w:rPr>
      </w:pPr>
      <w:proofErr w:type="spellStart"/>
      <w:r w:rsidRPr="00BA1FF2">
        <w:rPr>
          <w:rFonts w:ascii="Calibri" w:hAnsi="Calibri"/>
        </w:rPr>
        <w:t>Coyte</w:t>
      </w:r>
      <w:proofErr w:type="spellEnd"/>
      <w:r w:rsidRPr="00BA1FF2">
        <w:rPr>
          <w:rFonts w:ascii="Calibri" w:hAnsi="Calibri"/>
        </w:rPr>
        <w:t xml:space="preserve">, Katharine Z, and Jonas </w:t>
      </w:r>
      <w:proofErr w:type="spellStart"/>
      <w:r w:rsidRPr="00BA1FF2">
        <w:rPr>
          <w:rFonts w:ascii="Calibri" w:hAnsi="Calibri"/>
        </w:rPr>
        <w:t>Schluter</w:t>
      </w:r>
      <w:proofErr w:type="spellEnd"/>
      <w:r w:rsidRPr="00BA1FF2">
        <w:rPr>
          <w:rFonts w:ascii="Calibri" w:hAnsi="Calibri"/>
        </w:rPr>
        <w:t xml:space="preserve">. “The Ecology of the Microbiome: Networks, Competition, and Stability.” 1 n. </w:t>
      </w:r>
      <w:proofErr w:type="spellStart"/>
      <w:r w:rsidRPr="00BA1FF2">
        <w:rPr>
          <w:rFonts w:ascii="Calibri" w:hAnsi="Calibri"/>
        </w:rPr>
        <w:t>pag</w:t>
      </w:r>
      <w:proofErr w:type="spellEnd"/>
      <w:r w:rsidRPr="00BA1FF2">
        <w:rPr>
          <w:rFonts w:ascii="Calibri" w:hAnsi="Calibri"/>
        </w:rPr>
        <w:t>. Print.</w:t>
      </w:r>
      <w:r>
        <w:rPr>
          <w:rFonts w:ascii="Calibri" w:hAnsi="Calibri"/>
        </w:rPr>
        <w:t xml:space="preserve"> Nov, 25, 2015.</w:t>
      </w:r>
    </w:p>
    <w:p w14:paraId="2E6236E2" w14:textId="77777777" w:rsidR="00174891" w:rsidRPr="00691A5F" w:rsidRDefault="00174891" w:rsidP="00174891">
      <w:pPr>
        <w:pStyle w:val="NormalWeb"/>
        <w:ind w:left="480" w:hanging="480"/>
        <w:rPr>
          <w:rFonts w:ascii="Calibri" w:hAnsi="Calibri"/>
        </w:rPr>
      </w:pPr>
      <w:proofErr w:type="spellStart"/>
      <w:r w:rsidRPr="00BA1FF2">
        <w:rPr>
          <w:rFonts w:ascii="Calibri" w:hAnsi="Calibri"/>
        </w:rPr>
        <w:t>Hagland</w:t>
      </w:r>
      <w:proofErr w:type="spellEnd"/>
      <w:r w:rsidRPr="00BA1FF2">
        <w:rPr>
          <w:rFonts w:ascii="Calibri" w:hAnsi="Calibri"/>
        </w:rPr>
        <w:t xml:space="preserve">, Hanne R, and </w:t>
      </w:r>
      <w:proofErr w:type="spellStart"/>
      <w:r w:rsidRPr="00BA1FF2">
        <w:rPr>
          <w:rFonts w:ascii="Calibri" w:hAnsi="Calibri"/>
        </w:rPr>
        <w:t>Kjetil</w:t>
      </w:r>
      <w:proofErr w:type="spellEnd"/>
      <w:r w:rsidRPr="00BA1FF2">
        <w:rPr>
          <w:rFonts w:ascii="Calibri" w:hAnsi="Calibri"/>
        </w:rPr>
        <w:t xml:space="preserve"> </w:t>
      </w:r>
      <w:proofErr w:type="spellStart"/>
      <w:r w:rsidRPr="00BA1FF2">
        <w:rPr>
          <w:rFonts w:ascii="Calibri" w:hAnsi="Calibri"/>
        </w:rPr>
        <w:t>Søreide</w:t>
      </w:r>
      <w:proofErr w:type="spellEnd"/>
      <w:r w:rsidRPr="00BA1FF2">
        <w:rPr>
          <w:rFonts w:ascii="Calibri" w:hAnsi="Calibri"/>
        </w:rPr>
        <w:t>. “Cellular Metabolism in Colorectal Carcino</w:t>
      </w:r>
      <w:r>
        <w:rPr>
          <w:rFonts w:ascii="Calibri" w:hAnsi="Calibri"/>
        </w:rPr>
        <w:t>genesis: Influence of Lifestyle</w:t>
      </w:r>
      <w:r w:rsidRPr="00BA1FF2">
        <w:rPr>
          <w:rFonts w:ascii="Calibri" w:hAnsi="Calibri"/>
        </w:rPr>
        <w:t xml:space="preserve">, Gut Microbiome and Metabolic Pathways.” </w:t>
      </w:r>
      <w:r w:rsidRPr="00BA1FF2">
        <w:rPr>
          <w:rFonts w:ascii="Calibri" w:hAnsi="Calibri"/>
          <w:i/>
          <w:iCs/>
        </w:rPr>
        <w:t>Cancer Letters</w:t>
      </w:r>
      <w:r w:rsidRPr="00BA1FF2">
        <w:rPr>
          <w:rFonts w:ascii="Calibri" w:hAnsi="Calibri"/>
        </w:rPr>
        <w:t xml:space="preserve"> 356.2 </w:t>
      </w:r>
      <w:r w:rsidRPr="00691A5F">
        <w:rPr>
          <w:rFonts w:ascii="Calibri" w:hAnsi="Calibri"/>
        </w:rPr>
        <w:t>(2015): 273–280. Web.</w:t>
      </w:r>
    </w:p>
    <w:p w14:paraId="08E036A0" w14:textId="77777777" w:rsidR="00174891" w:rsidRDefault="00174891" w:rsidP="00174891">
      <w:pPr>
        <w:widowControl w:val="0"/>
        <w:autoSpaceDE w:val="0"/>
        <w:autoSpaceDN w:val="0"/>
        <w:adjustRightInd w:val="0"/>
        <w:rPr>
          <w:rFonts w:ascii="Calibri" w:hAnsi="Calibri" w:cs="Arial"/>
          <w:color w:val="242424"/>
        </w:rPr>
      </w:pPr>
      <w:proofErr w:type="spellStart"/>
      <w:r>
        <w:rPr>
          <w:rFonts w:ascii="Calibri" w:hAnsi="Calibri" w:cs="Arial"/>
          <w:color w:val="242424"/>
        </w:rPr>
        <w:t>Lintott</w:t>
      </w:r>
      <w:proofErr w:type="spellEnd"/>
      <w:r>
        <w:rPr>
          <w:rFonts w:ascii="Calibri" w:hAnsi="Calibri" w:cs="Arial"/>
          <w:color w:val="242424"/>
        </w:rPr>
        <w:t xml:space="preserve">, Lauri. Plasmids and Vectors. University of Regina. Web. </w:t>
      </w:r>
      <w:hyperlink r:id="rId8" w:history="1">
        <w:r w:rsidRPr="00B61DAA">
          <w:rPr>
            <w:rStyle w:val="Hyperlink"/>
            <w:rFonts w:ascii="Calibri" w:hAnsi="Calibri" w:cs="Arial"/>
          </w:rPr>
          <w:t>http://bio305lab.wikidot.com/resources:aboutplasmids</w:t>
        </w:r>
      </w:hyperlink>
    </w:p>
    <w:p w14:paraId="1C9C4649" w14:textId="77777777" w:rsidR="00174891" w:rsidRDefault="00174891" w:rsidP="00174891">
      <w:pPr>
        <w:widowControl w:val="0"/>
        <w:autoSpaceDE w:val="0"/>
        <w:autoSpaceDN w:val="0"/>
        <w:adjustRightInd w:val="0"/>
        <w:rPr>
          <w:rFonts w:ascii="Calibri" w:hAnsi="Calibri" w:cs="Arial"/>
          <w:color w:val="242424"/>
        </w:rPr>
      </w:pPr>
      <w:r>
        <w:rPr>
          <w:rFonts w:ascii="Calibri" w:hAnsi="Calibri" w:cs="Arial"/>
          <w:color w:val="242424"/>
        </w:rPr>
        <w:t xml:space="preserve">How to add Foreign DNA to bacteria. University of Waikato. Web. </w:t>
      </w:r>
    </w:p>
    <w:p w14:paraId="32410DCD" w14:textId="77777777" w:rsidR="00174891" w:rsidRDefault="00174891" w:rsidP="00174891">
      <w:pPr>
        <w:widowControl w:val="0"/>
        <w:autoSpaceDE w:val="0"/>
        <w:autoSpaceDN w:val="0"/>
        <w:adjustRightInd w:val="0"/>
        <w:rPr>
          <w:rFonts w:ascii="Calibri" w:hAnsi="Calibri" w:cs="Arial"/>
          <w:color w:val="242424"/>
        </w:rPr>
      </w:pPr>
      <w:hyperlink r:id="rId9" w:history="1">
        <w:r w:rsidRPr="00B61DAA">
          <w:rPr>
            <w:rStyle w:val="Hyperlink"/>
            <w:rFonts w:ascii="Calibri" w:hAnsi="Calibri" w:cs="Arial"/>
          </w:rPr>
          <w:t>http://biotechlearn.org.nz/themes/bacteria_in_biotech/how_to_add_foreign_dna_to_bacteria</w:t>
        </w:r>
      </w:hyperlink>
    </w:p>
    <w:p w14:paraId="04BB3C8E" w14:textId="77777777" w:rsidR="00174891" w:rsidRDefault="00174891" w:rsidP="00174891">
      <w:pPr>
        <w:widowControl w:val="0"/>
        <w:autoSpaceDE w:val="0"/>
        <w:autoSpaceDN w:val="0"/>
        <w:adjustRightInd w:val="0"/>
        <w:rPr>
          <w:rFonts w:ascii="Calibri" w:hAnsi="Calibri" w:cs="Arial"/>
          <w:color w:val="242424"/>
        </w:rPr>
      </w:pPr>
    </w:p>
    <w:p w14:paraId="1E0EC737" w14:textId="77777777" w:rsidR="00174891" w:rsidRDefault="00174891" w:rsidP="00174891">
      <w:pPr>
        <w:widowControl w:val="0"/>
        <w:autoSpaceDE w:val="0"/>
        <w:autoSpaceDN w:val="0"/>
        <w:adjustRightInd w:val="0"/>
        <w:rPr>
          <w:rFonts w:ascii="Calibri" w:hAnsi="Calibri" w:cs="Arial"/>
          <w:color w:val="242424"/>
        </w:rPr>
      </w:pPr>
      <w:proofErr w:type="spellStart"/>
      <w:r w:rsidRPr="00691A5F">
        <w:rPr>
          <w:rFonts w:ascii="Calibri" w:hAnsi="Calibri" w:cs="Arial"/>
          <w:color w:val="242424"/>
        </w:rPr>
        <w:t>Matsuki</w:t>
      </w:r>
      <w:proofErr w:type="spellEnd"/>
      <w:r w:rsidRPr="00691A5F">
        <w:rPr>
          <w:rFonts w:ascii="Calibri" w:hAnsi="Calibri" w:cs="Arial"/>
          <w:color w:val="242424"/>
        </w:rPr>
        <w:t xml:space="preserve">, Takahiro et al. “Development of 16S </w:t>
      </w:r>
      <w:proofErr w:type="spellStart"/>
      <w:r w:rsidRPr="00691A5F">
        <w:rPr>
          <w:rFonts w:ascii="Calibri" w:hAnsi="Calibri" w:cs="Arial"/>
          <w:color w:val="242424"/>
        </w:rPr>
        <w:t>rRNA</w:t>
      </w:r>
      <w:proofErr w:type="spellEnd"/>
      <w:r w:rsidRPr="00691A5F">
        <w:rPr>
          <w:rFonts w:ascii="Calibri" w:hAnsi="Calibri" w:cs="Arial"/>
          <w:color w:val="242424"/>
        </w:rPr>
        <w:t xml:space="preserve">-Gene-Targeted Group-Specific Primers for the Detection and Identification of Predominant Bacteria in Human Feces.” </w:t>
      </w:r>
      <w:r w:rsidRPr="00691A5F">
        <w:rPr>
          <w:rFonts w:ascii="Calibri" w:hAnsi="Calibri" w:cs="Arial"/>
          <w:i/>
          <w:iCs/>
          <w:color w:val="242424"/>
        </w:rPr>
        <w:t>Applied and Environmental Microbiology</w:t>
      </w:r>
      <w:r w:rsidRPr="00691A5F">
        <w:rPr>
          <w:rFonts w:ascii="Calibri" w:hAnsi="Calibri" w:cs="Arial"/>
          <w:color w:val="242424"/>
        </w:rPr>
        <w:t xml:space="preserve"> 68.11 (2002): 5445–5451. </w:t>
      </w:r>
      <w:r w:rsidRPr="00691A5F">
        <w:rPr>
          <w:rFonts w:ascii="Calibri" w:hAnsi="Calibri" w:cs="Arial"/>
          <w:i/>
          <w:iCs/>
          <w:color w:val="242424"/>
        </w:rPr>
        <w:t>PMC</w:t>
      </w:r>
      <w:r w:rsidRPr="00691A5F">
        <w:rPr>
          <w:rFonts w:ascii="Calibri" w:hAnsi="Calibri" w:cs="Arial"/>
          <w:color w:val="242424"/>
        </w:rPr>
        <w:t>. Web. 30 Apr. 2016.</w:t>
      </w:r>
    </w:p>
    <w:p w14:paraId="37FD423A" w14:textId="77777777" w:rsidR="00174891" w:rsidRPr="00691A5F" w:rsidRDefault="00174891" w:rsidP="00174891">
      <w:pPr>
        <w:widowControl w:val="0"/>
        <w:autoSpaceDE w:val="0"/>
        <w:autoSpaceDN w:val="0"/>
        <w:adjustRightInd w:val="0"/>
        <w:rPr>
          <w:rFonts w:ascii="Calibri" w:hAnsi="Calibri" w:cs="Arial"/>
          <w:color w:val="242424"/>
        </w:rPr>
      </w:pPr>
    </w:p>
    <w:p w14:paraId="09E27C39" w14:textId="77777777" w:rsidR="00174891" w:rsidRDefault="00174891" w:rsidP="00174891">
      <w:pPr>
        <w:widowControl w:val="0"/>
        <w:autoSpaceDE w:val="0"/>
        <w:autoSpaceDN w:val="0"/>
        <w:adjustRightInd w:val="0"/>
        <w:rPr>
          <w:rFonts w:ascii="Calibri" w:hAnsi="Calibri" w:cs="Times New Roman"/>
          <w:color w:val="1A1A1A"/>
        </w:rPr>
      </w:pPr>
      <w:r>
        <w:rPr>
          <w:rFonts w:ascii="Calibri" w:hAnsi="Calibri" w:cs="Times New Roman"/>
          <w:color w:val="1A1A1A"/>
        </w:rPr>
        <w:t xml:space="preserve">Polymerase Chain Reaction (PCR). National Center for Biotechnology Information, U.S. National Library of Medicine. Web. </w:t>
      </w:r>
      <w:hyperlink r:id="rId10" w:history="1">
        <w:r w:rsidRPr="00B61DAA">
          <w:rPr>
            <w:rStyle w:val="Hyperlink"/>
            <w:rFonts w:ascii="Calibri" w:hAnsi="Calibri" w:cs="Times New Roman"/>
          </w:rPr>
          <w:t>http://www.ncbi.nlm.nih.gov/probe/docs/techpcr/</w:t>
        </w:r>
      </w:hyperlink>
      <w:r>
        <w:rPr>
          <w:rFonts w:ascii="Calibri" w:hAnsi="Calibri" w:cs="Times New Roman"/>
          <w:color w:val="1A1A1A"/>
        </w:rPr>
        <w:t xml:space="preserve"> </w:t>
      </w:r>
    </w:p>
    <w:p w14:paraId="50C43F51" w14:textId="77777777" w:rsidR="00174891" w:rsidRDefault="00174891" w:rsidP="00174891">
      <w:pPr>
        <w:widowControl w:val="0"/>
        <w:autoSpaceDE w:val="0"/>
        <w:autoSpaceDN w:val="0"/>
        <w:adjustRightInd w:val="0"/>
        <w:rPr>
          <w:rFonts w:ascii="Calibri" w:hAnsi="Calibri" w:cs="Times New Roman"/>
          <w:color w:val="1A1A1A"/>
        </w:rPr>
      </w:pPr>
    </w:p>
    <w:p w14:paraId="13BDF180" w14:textId="77777777" w:rsidR="00174891" w:rsidRPr="00BA1FF2" w:rsidRDefault="00174891" w:rsidP="00174891">
      <w:pPr>
        <w:widowControl w:val="0"/>
        <w:autoSpaceDE w:val="0"/>
        <w:autoSpaceDN w:val="0"/>
        <w:adjustRightInd w:val="0"/>
        <w:rPr>
          <w:rFonts w:ascii="Calibri" w:hAnsi="Calibri" w:cs="Times New Roman"/>
          <w:color w:val="1A1A1A"/>
        </w:rPr>
      </w:pPr>
      <w:r w:rsidRPr="00691A5F">
        <w:rPr>
          <w:rFonts w:ascii="Calibri" w:hAnsi="Calibri" w:cs="Times New Roman"/>
          <w:color w:val="1A1A1A"/>
        </w:rPr>
        <w:t>Sivan et al. Commensal Bifidobacterium</w:t>
      </w:r>
      <w:r w:rsidRPr="00BA1FF2">
        <w:rPr>
          <w:rFonts w:ascii="Calibri" w:hAnsi="Calibri" w:cs="Times New Roman"/>
          <w:color w:val="1A1A1A"/>
        </w:rPr>
        <w:t xml:space="preserve"> promotes antitumor immunity and facilitates anti-PD-L1 efficacy. Science Vol 350 Issue 6264, 1084-1089. Nov 27, 2015.</w:t>
      </w:r>
    </w:p>
    <w:p w14:paraId="78E684A0" w14:textId="77777777" w:rsidR="00174891" w:rsidRPr="00BA1FF2" w:rsidRDefault="00174891" w:rsidP="00174891">
      <w:pPr>
        <w:widowControl w:val="0"/>
        <w:autoSpaceDE w:val="0"/>
        <w:autoSpaceDN w:val="0"/>
        <w:adjustRightInd w:val="0"/>
        <w:rPr>
          <w:rFonts w:ascii="Calibri" w:hAnsi="Calibri" w:cs="Times New Roman"/>
          <w:color w:val="1A1A1A"/>
        </w:rPr>
      </w:pPr>
    </w:p>
    <w:p w14:paraId="3E7AF91E" w14:textId="77777777" w:rsidR="00174891" w:rsidRPr="00BA1FF2" w:rsidRDefault="00174891" w:rsidP="00174891">
      <w:pPr>
        <w:widowControl w:val="0"/>
        <w:autoSpaceDE w:val="0"/>
        <w:autoSpaceDN w:val="0"/>
        <w:adjustRightInd w:val="0"/>
        <w:rPr>
          <w:rFonts w:ascii="Calibri" w:hAnsi="Calibri" w:cs="Times New Roman"/>
          <w:color w:val="1A1A1A"/>
        </w:rPr>
      </w:pPr>
      <w:r w:rsidRPr="00BA1FF2">
        <w:rPr>
          <w:rFonts w:ascii="Calibri" w:hAnsi="Calibri" w:cs="Times New Roman"/>
          <w:color w:val="1A1A1A"/>
        </w:rPr>
        <w:t xml:space="preserve">Snyder et al. Could microbial therapy boost cancer immunotherapy? Science Vol. 350 Issue 6264, 1031-1032. Nov 27, 2015 </w:t>
      </w:r>
    </w:p>
    <w:p w14:paraId="0EB3CBA5" w14:textId="77777777" w:rsidR="00174891" w:rsidRPr="00BA1FF2" w:rsidRDefault="00174891" w:rsidP="00174891">
      <w:pPr>
        <w:widowControl w:val="0"/>
        <w:autoSpaceDE w:val="0"/>
        <w:autoSpaceDN w:val="0"/>
        <w:adjustRightInd w:val="0"/>
        <w:rPr>
          <w:rFonts w:ascii="Calibri" w:hAnsi="Calibri" w:cs="Times New Roman"/>
          <w:color w:val="1A1A1A"/>
        </w:rPr>
      </w:pPr>
    </w:p>
    <w:p w14:paraId="229820F5" w14:textId="77777777" w:rsidR="00174891" w:rsidRDefault="00174891" w:rsidP="00174891">
      <w:pPr>
        <w:widowControl w:val="0"/>
        <w:autoSpaceDE w:val="0"/>
        <w:autoSpaceDN w:val="0"/>
        <w:adjustRightInd w:val="0"/>
        <w:rPr>
          <w:rFonts w:ascii="Calibri" w:hAnsi="Calibri" w:cs="Times New Roman"/>
          <w:color w:val="1A1A1A"/>
        </w:rPr>
      </w:pPr>
      <w:proofErr w:type="spellStart"/>
      <w:r w:rsidRPr="00BA1FF2">
        <w:rPr>
          <w:rFonts w:ascii="Calibri" w:hAnsi="Calibri" w:cs="Times New Roman"/>
          <w:color w:val="1A1A1A"/>
        </w:rPr>
        <w:t>Vetizou</w:t>
      </w:r>
      <w:proofErr w:type="spellEnd"/>
      <w:r w:rsidRPr="00BA1FF2">
        <w:rPr>
          <w:rFonts w:ascii="Calibri" w:hAnsi="Calibri" w:cs="Times New Roman"/>
          <w:color w:val="1A1A1A"/>
        </w:rPr>
        <w:t xml:space="preserve"> et al. Anticancer immunotherapy by CTLA-4 blockade relies on the gut microbiota. Science Vol 350 Issue 6264, 1079-1084. Nov 27, 2015.</w:t>
      </w:r>
    </w:p>
    <w:p w14:paraId="41350A54" w14:textId="77777777" w:rsidR="00174891" w:rsidRDefault="00174891" w:rsidP="00174891">
      <w:pPr>
        <w:widowControl w:val="0"/>
        <w:autoSpaceDE w:val="0"/>
        <w:autoSpaceDN w:val="0"/>
        <w:adjustRightInd w:val="0"/>
        <w:rPr>
          <w:rFonts w:ascii="Calibri" w:hAnsi="Calibri" w:cs="Times New Roman"/>
          <w:color w:val="1A1A1A"/>
        </w:rPr>
      </w:pPr>
    </w:p>
    <w:p w14:paraId="2ADA229E" w14:textId="77777777" w:rsidR="00174891" w:rsidRDefault="00174891" w:rsidP="00174891">
      <w:pPr>
        <w:widowControl w:val="0"/>
        <w:autoSpaceDE w:val="0"/>
        <w:autoSpaceDN w:val="0"/>
        <w:adjustRightInd w:val="0"/>
        <w:spacing w:after="240" w:line="360" w:lineRule="atLeast"/>
        <w:rPr>
          <w:rFonts w:ascii="Calibri" w:hAnsi="Calibri" w:cs="Times"/>
        </w:rPr>
      </w:pPr>
      <w:proofErr w:type="spellStart"/>
      <w:r>
        <w:rPr>
          <w:rFonts w:ascii="Calibri" w:hAnsi="Calibri" w:cs="Times"/>
          <w:iCs/>
        </w:rPr>
        <w:t>Zackular</w:t>
      </w:r>
      <w:proofErr w:type="spellEnd"/>
      <w:r>
        <w:rPr>
          <w:rFonts w:ascii="Calibri" w:hAnsi="Calibri" w:cs="Times"/>
          <w:iCs/>
        </w:rPr>
        <w:t xml:space="preserve"> </w:t>
      </w:r>
      <w:r w:rsidRPr="004F1D71">
        <w:rPr>
          <w:rFonts w:ascii="Calibri" w:hAnsi="Calibri" w:cs="Times"/>
          <w:iCs/>
        </w:rPr>
        <w:t>et al.</w:t>
      </w:r>
      <w:r>
        <w:rPr>
          <w:rFonts w:ascii="Calibri" w:hAnsi="Calibri" w:cs="Times"/>
          <w:iCs/>
        </w:rPr>
        <w:t xml:space="preserve"> </w:t>
      </w:r>
      <w:r w:rsidRPr="004F1D71">
        <w:rPr>
          <w:rFonts w:ascii="Calibri" w:hAnsi="Calibri" w:cs="Times"/>
          <w:bCs/>
        </w:rPr>
        <w:t>The Gut Microbio</w:t>
      </w:r>
      <w:r>
        <w:rPr>
          <w:rFonts w:ascii="Calibri" w:hAnsi="Calibri" w:cs="Times"/>
          <w:bCs/>
        </w:rPr>
        <w:t xml:space="preserve">me Modulates Colon </w:t>
      </w:r>
      <w:proofErr w:type="spellStart"/>
      <w:r>
        <w:rPr>
          <w:rFonts w:ascii="Calibri" w:hAnsi="Calibri" w:cs="Times"/>
          <w:bCs/>
        </w:rPr>
        <w:t>Tumorgenesis</w:t>
      </w:r>
      <w:proofErr w:type="spellEnd"/>
      <w:r>
        <w:rPr>
          <w:rFonts w:ascii="Calibri" w:hAnsi="Calibri" w:cs="Times"/>
          <w:bCs/>
        </w:rPr>
        <w:t>.</w:t>
      </w:r>
      <w:r>
        <w:rPr>
          <w:rFonts w:ascii="Calibri" w:hAnsi="Calibri" w:cs="Times"/>
          <w:iCs/>
        </w:rPr>
        <w:t xml:space="preserve"> </w:t>
      </w:r>
      <w:proofErr w:type="spellStart"/>
      <w:r w:rsidRPr="004F1D71">
        <w:rPr>
          <w:rFonts w:ascii="Calibri" w:hAnsi="Calibri" w:cs="Times"/>
          <w:iCs/>
        </w:rPr>
        <w:t>mBio</w:t>
      </w:r>
      <w:proofErr w:type="spellEnd"/>
      <w:r w:rsidRPr="004F1D71">
        <w:rPr>
          <w:rFonts w:ascii="Calibri" w:hAnsi="Calibri" w:cs="Times"/>
          <w:iCs/>
        </w:rPr>
        <w:t xml:space="preserve"> 4(6</w:t>
      </w:r>
      <w:proofErr w:type="gramStart"/>
      <w:r w:rsidRPr="004F1D71">
        <w:rPr>
          <w:rFonts w:ascii="Calibri" w:hAnsi="Calibri" w:cs="Times"/>
          <w:iCs/>
        </w:rPr>
        <w:t>):e</w:t>
      </w:r>
      <w:proofErr w:type="gramEnd"/>
      <w:r w:rsidRPr="004F1D71">
        <w:rPr>
          <w:rFonts w:ascii="Calibri" w:hAnsi="Calibri" w:cs="Times"/>
          <w:iCs/>
        </w:rPr>
        <w:t>00692-13</w:t>
      </w:r>
      <w:r>
        <w:rPr>
          <w:rFonts w:ascii="Calibri" w:hAnsi="Calibri" w:cs="Times"/>
        </w:rPr>
        <w:t>. 2013.</w:t>
      </w:r>
    </w:p>
    <w:p w14:paraId="0D6EC2AC" w14:textId="77777777" w:rsidR="00174891" w:rsidRDefault="00174891" w:rsidP="00174891">
      <w:pPr>
        <w:widowControl w:val="0"/>
        <w:autoSpaceDE w:val="0"/>
        <w:autoSpaceDN w:val="0"/>
        <w:adjustRightInd w:val="0"/>
        <w:spacing w:after="240" w:line="360" w:lineRule="atLeast"/>
        <w:rPr>
          <w:rFonts w:ascii="Calibri" w:hAnsi="Calibri" w:cs="Times"/>
        </w:rPr>
      </w:pPr>
      <w:r>
        <w:t xml:space="preserve">Colorectal Cancer Key Statistics. Cancer. Org. Web. </w:t>
      </w:r>
      <w:hyperlink r:id="rId11" w:history="1">
        <w:r w:rsidRPr="005B2D13">
          <w:rPr>
            <w:rStyle w:val="Hyperlink"/>
            <w:rFonts w:ascii="Calibri" w:hAnsi="Calibri" w:cs="Times"/>
          </w:rPr>
          <w:t>http://www.cancer.org/cancer/colonandrectumcancer/detailedguide/colorectal-cancer-key-statistics</w:t>
        </w:r>
      </w:hyperlink>
    </w:p>
    <w:p w14:paraId="6D2EE798" w14:textId="77777777" w:rsidR="00174891" w:rsidRDefault="00174891" w:rsidP="00174891">
      <w:pPr>
        <w:widowControl w:val="0"/>
        <w:autoSpaceDE w:val="0"/>
        <w:autoSpaceDN w:val="0"/>
        <w:adjustRightInd w:val="0"/>
        <w:spacing w:after="240" w:line="360" w:lineRule="atLeast"/>
        <w:rPr>
          <w:rFonts w:ascii="Calibri" w:hAnsi="Calibri" w:cs="Times"/>
        </w:rPr>
      </w:pPr>
      <w:r>
        <w:t xml:space="preserve">Colorectal Cancer. Cance.org. Web. </w:t>
      </w:r>
      <w:hyperlink r:id="rId12" w:history="1">
        <w:r w:rsidRPr="005B2D13">
          <w:rPr>
            <w:rStyle w:val="Hyperlink"/>
            <w:rFonts w:ascii="Calibri" w:hAnsi="Calibri" w:cs="Times"/>
          </w:rPr>
          <w:t>http://www.cancer.gov/types/colorectal/hp/colorectal-genetics-pdq</w:t>
        </w:r>
      </w:hyperlink>
    </w:p>
    <w:p w14:paraId="3B77AB61" w14:textId="77777777" w:rsidR="00174891" w:rsidRDefault="00174891" w:rsidP="00174891">
      <w:pPr>
        <w:widowControl w:val="0"/>
        <w:autoSpaceDE w:val="0"/>
        <w:autoSpaceDN w:val="0"/>
        <w:adjustRightInd w:val="0"/>
        <w:jc w:val="both"/>
        <w:rPr>
          <w:rFonts w:ascii="Calibri" w:hAnsi="Calibri" w:cs="Arial"/>
          <w:color w:val="262700"/>
        </w:rPr>
      </w:pPr>
      <w:r w:rsidRPr="008F0B30">
        <w:rPr>
          <w:rFonts w:ascii="Calibri" w:hAnsi="Calibri" w:cs="Arial"/>
          <w:bCs/>
          <w:color w:val="262626"/>
        </w:rPr>
        <w:t>Michael J. Coyne</w:t>
      </w:r>
      <w:r w:rsidRPr="008F0B30">
        <w:rPr>
          <w:rFonts w:ascii="Calibri" w:hAnsi="Calibri" w:cs="Arial"/>
          <w:bCs/>
          <w:color w:val="262626"/>
          <w:kern w:val="1"/>
        </w:rPr>
        <w:t xml:space="preserve">, et al. </w:t>
      </w:r>
      <w:r w:rsidRPr="008F0B30">
        <w:rPr>
          <w:rFonts w:ascii="Calibri" w:hAnsi="Calibri" w:cs="Arial"/>
          <w:bCs/>
          <w:color w:val="312A2A"/>
        </w:rPr>
        <w:t xml:space="preserve">Evidence of Extensive DNA Transfer between </w:t>
      </w:r>
      <w:proofErr w:type="spellStart"/>
      <w:r w:rsidRPr="008F0B30">
        <w:rPr>
          <w:rFonts w:ascii="Calibri" w:hAnsi="Calibri" w:cs="Arial"/>
          <w:bCs/>
          <w:i/>
          <w:iCs/>
          <w:color w:val="312A2A"/>
        </w:rPr>
        <w:t>Bacteroidales</w:t>
      </w:r>
      <w:proofErr w:type="spellEnd"/>
      <w:r w:rsidRPr="008F0B30">
        <w:rPr>
          <w:rFonts w:ascii="Calibri" w:hAnsi="Calibri" w:cs="Arial"/>
          <w:bCs/>
          <w:color w:val="312A2A"/>
        </w:rPr>
        <w:t xml:space="preserve"> Species within the Human Gut</w:t>
      </w:r>
      <w:r>
        <w:rPr>
          <w:rFonts w:ascii="Calibri" w:hAnsi="Calibri" w:cs="Arial"/>
          <w:bCs/>
          <w:color w:val="312A2A"/>
        </w:rPr>
        <w:t xml:space="preserve">. </w:t>
      </w:r>
      <w:proofErr w:type="spellStart"/>
      <w:r w:rsidRPr="008F0B30">
        <w:rPr>
          <w:rFonts w:ascii="Calibri" w:hAnsi="Calibri" w:cs="Arial"/>
          <w:bCs/>
          <w:color w:val="262700"/>
        </w:rPr>
        <w:t>doi</w:t>
      </w:r>
      <w:proofErr w:type="spellEnd"/>
      <w:r w:rsidRPr="008F0B30">
        <w:rPr>
          <w:rFonts w:ascii="Calibri" w:hAnsi="Calibri" w:cs="Arial"/>
          <w:bCs/>
          <w:color w:val="262700"/>
        </w:rPr>
        <w:t>: 10.1128/mBio.01305-14</w:t>
      </w:r>
      <w:r>
        <w:rPr>
          <w:rFonts w:ascii="Calibri" w:hAnsi="Calibri" w:cs="Arial"/>
          <w:color w:val="262700"/>
        </w:rPr>
        <w:t xml:space="preserve">. </w:t>
      </w:r>
      <w:r w:rsidRPr="008F0B30">
        <w:rPr>
          <w:rFonts w:ascii="Calibri" w:hAnsi="Calibri" w:cs="Arial"/>
          <w:bCs/>
          <w:color w:val="262700"/>
        </w:rPr>
        <w:t xml:space="preserve">17 June 2014 </w:t>
      </w:r>
      <w:proofErr w:type="spellStart"/>
      <w:r w:rsidRPr="008F0B30">
        <w:rPr>
          <w:rFonts w:ascii="Calibri" w:hAnsi="Calibri" w:cs="Arial"/>
          <w:color w:val="262700"/>
        </w:rPr>
        <w:t>mBio</w:t>
      </w:r>
      <w:proofErr w:type="spellEnd"/>
      <w:r w:rsidRPr="008F0B30">
        <w:rPr>
          <w:rFonts w:ascii="Calibri" w:hAnsi="Calibri" w:cs="Arial"/>
          <w:color w:val="262700"/>
        </w:rPr>
        <w:t xml:space="preserve"> vol. 5 no. 3 e01305-14</w:t>
      </w:r>
      <w:r>
        <w:rPr>
          <w:rFonts w:ascii="Calibri" w:hAnsi="Calibri" w:cs="Arial"/>
          <w:color w:val="262700"/>
        </w:rPr>
        <w:t>.</w:t>
      </w:r>
    </w:p>
    <w:p w14:paraId="78F67722" w14:textId="77777777" w:rsidR="00174891" w:rsidRDefault="00174891" w:rsidP="00174891">
      <w:pPr>
        <w:widowControl w:val="0"/>
        <w:autoSpaceDE w:val="0"/>
        <w:autoSpaceDN w:val="0"/>
        <w:adjustRightInd w:val="0"/>
        <w:contextualSpacing/>
        <w:jc w:val="both"/>
      </w:pPr>
    </w:p>
    <w:p w14:paraId="22455DD2" w14:textId="77777777" w:rsidR="00174891" w:rsidRDefault="00174891" w:rsidP="00174891">
      <w:pPr>
        <w:widowControl w:val="0"/>
        <w:autoSpaceDE w:val="0"/>
        <w:autoSpaceDN w:val="0"/>
        <w:adjustRightInd w:val="0"/>
        <w:contextualSpacing/>
        <w:jc w:val="both"/>
      </w:pPr>
      <w:r>
        <w:t>What is PCR</w:t>
      </w:r>
      <w:r w:rsidRPr="00691A5F">
        <w:t>? Your Genome</w:t>
      </w:r>
      <w:r>
        <w:t>. Web.</w:t>
      </w:r>
    </w:p>
    <w:p w14:paraId="113B7FB9" w14:textId="5A2D0E8A" w:rsidR="00174891" w:rsidRPr="00B306B8" w:rsidRDefault="00174891" w:rsidP="00174891">
      <w:pPr>
        <w:widowControl w:val="0"/>
        <w:autoSpaceDE w:val="0"/>
        <w:autoSpaceDN w:val="0"/>
        <w:adjustRightInd w:val="0"/>
        <w:spacing w:after="240"/>
        <w:contextualSpacing/>
      </w:pPr>
      <w:r w:rsidRPr="00691A5F">
        <w:rPr>
          <w:rFonts w:ascii="Calibri" w:hAnsi="Calibri" w:cs="Arial"/>
          <w:bCs/>
          <w:color w:val="312A2A"/>
        </w:rPr>
        <w:t>http://www.yourgenome.org</w:t>
      </w:r>
    </w:p>
    <w:sectPr w:rsidR="00174891" w:rsidRPr="00B306B8" w:rsidSect="009A6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94F81"/>
    <w:multiLevelType w:val="hybridMultilevel"/>
    <w:tmpl w:val="141AAF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45"/>
    <w:rsid w:val="000020A2"/>
    <w:rsid w:val="000E3DB5"/>
    <w:rsid w:val="00174891"/>
    <w:rsid w:val="0017606F"/>
    <w:rsid w:val="00187232"/>
    <w:rsid w:val="001B7F9B"/>
    <w:rsid w:val="002579D6"/>
    <w:rsid w:val="00267A18"/>
    <w:rsid w:val="00326472"/>
    <w:rsid w:val="00337BE7"/>
    <w:rsid w:val="00385811"/>
    <w:rsid w:val="004D1200"/>
    <w:rsid w:val="005525B8"/>
    <w:rsid w:val="005F750D"/>
    <w:rsid w:val="00624039"/>
    <w:rsid w:val="00647ED5"/>
    <w:rsid w:val="006514A6"/>
    <w:rsid w:val="006C1361"/>
    <w:rsid w:val="006D0C34"/>
    <w:rsid w:val="006D4E57"/>
    <w:rsid w:val="00735A84"/>
    <w:rsid w:val="00757B3A"/>
    <w:rsid w:val="00793478"/>
    <w:rsid w:val="007E6120"/>
    <w:rsid w:val="00840EEC"/>
    <w:rsid w:val="008A08A4"/>
    <w:rsid w:val="008C30CE"/>
    <w:rsid w:val="008D2CD5"/>
    <w:rsid w:val="00972FE3"/>
    <w:rsid w:val="009A6DD4"/>
    <w:rsid w:val="009F1745"/>
    <w:rsid w:val="00A0635A"/>
    <w:rsid w:val="00B13781"/>
    <w:rsid w:val="00B306B8"/>
    <w:rsid w:val="00B72F4F"/>
    <w:rsid w:val="00C1222C"/>
    <w:rsid w:val="00C274FB"/>
    <w:rsid w:val="00C45822"/>
    <w:rsid w:val="00C92EA3"/>
    <w:rsid w:val="00CB2F81"/>
    <w:rsid w:val="00CF183B"/>
    <w:rsid w:val="00D208B2"/>
    <w:rsid w:val="00D22653"/>
    <w:rsid w:val="00F01569"/>
    <w:rsid w:val="00F667A3"/>
    <w:rsid w:val="00F7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2B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E7"/>
    <w:pPr>
      <w:ind w:left="720"/>
      <w:contextualSpacing/>
    </w:pPr>
  </w:style>
  <w:style w:type="character" w:styleId="Hyperlink">
    <w:name w:val="Hyperlink"/>
    <w:basedOn w:val="DefaultParagraphFont"/>
    <w:uiPriority w:val="99"/>
    <w:unhideWhenUsed/>
    <w:rsid w:val="00174891"/>
    <w:rPr>
      <w:color w:val="0563C1" w:themeColor="hyperlink"/>
      <w:u w:val="single"/>
    </w:rPr>
  </w:style>
  <w:style w:type="paragraph" w:styleId="NormalWeb">
    <w:name w:val="Normal (Web)"/>
    <w:basedOn w:val="Normal"/>
    <w:uiPriority w:val="99"/>
    <w:unhideWhenUsed/>
    <w:rsid w:val="00174891"/>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ancer.org/cancer/colonandrectumcancer/detailedguide/colorectal-cancer-key-statistics" TargetMode="External"/><Relationship Id="rId12" Type="http://schemas.openxmlformats.org/officeDocument/2006/relationships/hyperlink" Target="http://www.cancer.gov/types/colorectal/hp/colorectal-genetics-pdq"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tiff"/><Relationship Id="rId7" Type="http://schemas.openxmlformats.org/officeDocument/2006/relationships/image" Target="media/image3.gif"/><Relationship Id="rId8" Type="http://schemas.openxmlformats.org/officeDocument/2006/relationships/hyperlink" Target="http://bio305lab.wikidot.com/resources:aboutplasmids" TargetMode="External"/><Relationship Id="rId9" Type="http://schemas.openxmlformats.org/officeDocument/2006/relationships/hyperlink" Target="http://biotechlearn.org.nz/themes/bacteria_in_biotech/how_to_add_foreign_dna_to_bacteria" TargetMode="External"/><Relationship Id="rId10" Type="http://schemas.openxmlformats.org/officeDocument/2006/relationships/hyperlink" Target="http://www.ncbi.nlm.nih.gov/probe/docs/techp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1460</Words>
  <Characters>8323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Suquoia Mosby</dc:creator>
  <cp:keywords/>
  <dc:description/>
  <cp:lastModifiedBy>Suquoia Mosby</cp:lastModifiedBy>
  <cp:revision>3</cp:revision>
  <dcterms:created xsi:type="dcterms:W3CDTF">2016-04-30T23:27:00Z</dcterms:created>
  <dcterms:modified xsi:type="dcterms:W3CDTF">2016-04-30T23:30:00Z</dcterms:modified>
</cp:coreProperties>
</file>