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E6" w:rsidRDefault="00AD235C" w:rsidP="00AD235C">
      <w:pPr>
        <w:spacing w:after="0" w:line="360" w:lineRule="auto"/>
        <w:rPr>
          <w:sz w:val="24"/>
          <w:szCs w:val="24"/>
        </w:rPr>
      </w:pPr>
      <w:r>
        <w:rPr>
          <w:sz w:val="24"/>
          <w:szCs w:val="24"/>
        </w:rPr>
        <w:t>Bryce Kirby</w:t>
      </w:r>
    </w:p>
    <w:p w:rsidR="00AD235C" w:rsidRDefault="00AD235C" w:rsidP="00AD235C">
      <w:pPr>
        <w:spacing w:after="0" w:line="360" w:lineRule="auto"/>
        <w:rPr>
          <w:sz w:val="24"/>
          <w:szCs w:val="24"/>
        </w:rPr>
      </w:pPr>
      <w:r>
        <w:rPr>
          <w:sz w:val="24"/>
          <w:szCs w:val="24"/>
        </w:rPr>
        <w:t>BNFO 300</w:t>
      </w:r>
    </w:p>
    <w:p w:rsidR="00AD235C" w:rsidRDefault="00AD235C" w:rsidP="00AD235C">
      <w:pPr>
        <w:spacing w:after="0" w:line="360" w:lineRule="auto"/>
        <w:rPr>
          <w:sz w:val="24"/>
          <w:szCs w:val="24"/>
        </w:rPr>
      </w:pPr>
      <w:r>
        <w:rPr>
          <w:sz w:val="24"/>
          <w:szCs w:val="24"/>
        </w:rPr>
        <w:t>May 1, 2016</w:t>
      </w:r>
    </w:p>
    <w:p w:rsidR="00595593" w:rsidRDefault="00595593" w:rsidP="00595593">
      <w:pPr>
        <w:spacing w:after="0" w:line="360" w:lineRule="auto"/>
        <w:jc w:val="center"/>
        <w:rPr>
          <w:b/>
          <w:sz w:val="28"/>
          <w:szCs w:val="24"/>
        </w:rPr>
      </w:pPr>
      <w:r w:rsidRPr="007178CB">
        <w:rPr>
          <w:b/>
          <w:sz w:val="28"/>
          <w:szCs w:val="24"/>
        </w:rPr>
        <w:t>Inhibition of the p53 tumor suppressor by MDM2 and the role miRNA plays in p53 gene expression</w:t>
      </w:r>
      <w:r>
        <w:rPr>
          <w:sz w:val="28"/>
          <w:szCs w:val="24"/>
        </w:rPr>
        <w:t xml:space="preserve"> </w:t>
      </w:r>
      <w:r>
        <w:rPr>
          <w:b/>
          <w:sz w:val="28"/>
          <w:szCs w:val="24"/>
        </w:rPr>
        <w:t>and regulation</w:t>
      </w:r>
    </w:p>
    <w:p w:rsidR="00595593" w:rsidRDefault="006E247A" w:rsidP="00595593">
      <w:pPr>
        <w:spacing w:after="0" w:line="360" w:lineRule="auto"/>
        <w:rPr>
          <w:rFonts w:ascii="Baskerville Old Face" w:eastAsia="Batang" w:hAnsi="Baskerville Old Face"/>
          <w:color w:val="538135" w:themeColor="accent6" w:themeShade="BF"/>
          <w:sz w:val="36"/>
          <w:szCs w:val="28"/>
        </w:rPr>
      </w:pPr>
      <w:r w:rsidRPr="0006169B">
        <w:rPr>
          <w:rFonts w:ascii="Baskerville Old Face" w:eastAsia="Batang" w:hAnsi="Baskerville Old Face"/>
          <w:color w:val="538135" w:themeColor="accent6" w:themeShade="BF"/>
          <w:sz w:val="36"/>
          <w:szCs w:val="28"/>
        </w:rPr>
        <w:t>Introduction</w:t>
      </w:r>
    </w:p>
    <w:p w:rsidR="00957CA7" w:rsidRPr="00957CA7" w:rsidRDefault="009F3369" w:rsidP="00595593">
      <w:pPr>
        <w:spacing w:after="0" w:line="360" w:lineRule="auto"/>
        <w:rPr>
          <w:rFonts w:ascii="Baskerville Old Face" w:eastAsia="Batang" w:hAnsi="Baskerville Old Face"/>
          <w:color w:val="4472C4" w:themeColor="accent5"/>
          <w:sz w:val="32"/>
          <w:szCs w:val="28"/>
        </w:rPr>
      </w:pPr>
      <w:r>
        <w:rPr>
          <w:rFonts w:ascii="Baskerville Old Face" w:eastAsia="Batang" w:hAnsi="Baskerville Old Face"/>
          <w:color w:val="4472C4" w:themeColor="accent5"/>
          <w:sz w:val="36"/>
          <w:szCs w:val="28"/>
        </w:rPr>
        <w:t xml:space="preserve">The </w:t>
      </w:r>
      <w:r w:rsidR="00957CA7" w:rsidRPr="00957CA7">
        <w:rPr>
          <w:rFonts w:ascii="Baskerville Old Face" w:eastAsia="Batang" w:hAnsi="Baskerville Old Face"/>
          <w:color w:val="4472C4" w:themeColor="accent5"/>
          <w:sz w:val="36"/>
          <w:szCs w:val="28"/>
        </w:rPr>
        <w:t>p53</w:t>
      </w:r>
      <w:r>
        <w:rPr>
          <w:rFonts w:ascii="Baskerville Old Face" w:eastAsia="Batang" w:hAnsi="Baskerville Old Face"/>
          <w:color w:val="4472C4" w:themeColor="accent5"/>
          <w:sz w:val="36"/>
          <w:szCs w:val="28"/>
        </w:rPr>
        <w:t xml:space="preserve"> tumor sup</w:t>
      </w:r>
      <w:r w:rsidR="002C0838">
        <w:rPr>
          <w:rFonts w:ascii="Baskerville Old Face" w:eastAsia="Batang" w:hAnsi="Baskerville Old Face"/>
          <w:color w:val="4472C4" w:themeColor="accent5"/>
          <w:sz w:val="36"/>
          <w:szCs w:val="28"/>
        </w:rPr>
        <w:t>p</w:t>
      </w:r>
      <w:r>
        <w:rPr>
          <w:rFonts w:ascii="Baskerville Old Face" w:eastAsia="Batang" w:hAnsi="Baskerville Old Face"/>
          <w:color w:val="4472C4" w:themeColor="accent5"/>
          <w:sz w:val="36"/>
          <w:szCs w:val="28"/>
        </w:rPr>
        <w:t>ressor</w:t>
      </w:r>
    </w:p>
    <w:p w:rsidR="00957CA7" w:rsidRDefault="009B4D74" w:rsidP="00595593">
      <w:pPr>
        <w:spacing w:after="0" w:line="360" w:lineRule="auto"/>
        <w:rPr>
          <w:sz w:val="24"/>
          <w:szCs w:val="24"/>
        </w:rPr>
      </w:pPr>
      <w:r>
        <w:rPr>
          <w:sz w:val="24"/>
          <w:szCs w:val="24"/>
        </w:rPr>
        <w:t>The p53 gene is a highly specialized protein designated with preventing cancerous tumor growth in cells. The P53 protein is classified as a tumor suppressor and is tasked with keeping the genomic stability of cells by inducing apoptosis and cell cycle arrest in cancerous cells</w:t>
      </w:r>
      <w:r w:rsidR="005F05A1">
        <w:rPr>
          <w:sz w:val="24"/>
          <w:szCs w:val="24"/>
        </w:rPr>
        <w:t xml:space="preserve"> </w:t>
      </w:r>
      <w:r w:rsidR="005F05A1" w:rsidRPr="00290583">
        <w:rPr>
          <w:color w:val="70AD47" w:themeColor="accent6"/>
          <w:sz w:val="24"/>
          <w:szCs w:val="24"/>
        </w:rPr>
        <w:t xml:space="preserve">(Frum, 2014). </w:t>
      </w:r>
      <w:r w:rsidR="007D4464">
        <w:rPr>
          <w:sz w:val="24"/>
          <w:szCs w:val="24"/>
        </w:rPr>
        <w:t>A key characteristic of the p53 gene is its susceptibility</w:t>
      </w:r>
      <w:r w:rsidR="00BA1268">
        <w:rPr>
          <w:sz w:val="24"/>
          <w:szCs w:val="24"/>
        </w:rPr>
        <w:t xml:space="preserve"> to genetic mutation, these mutations</w:t>
      </w:r>
      <w:r w:rsidR="00FB0A04">
        <w:rPr>
          <w:sz w:val="24"/>
          <w:szCs w:val="24"/>
        </w:rPr>
        <w:t xml:space="preserve"> can either be germline (passed genetically) or </w:t>
      </w:r>
      <w:r w:rsidR="00BA1268">
        <w:rPr>
          <w:sz w:val="24"/>
          <w:szCs w:val="24"/>
        </w:rPr>
        <w:t>acquired through genetic damage, like exposure to UV radiation or old age</w:t>
      </w:r>
      <w:r w:rsidR="00B81014">
        <w:rPr>
          <w:sz w:val="24"/>
          <w:szCs w:val="24"/>
        </w:rPr>
        <w:t xml:space="preserve"> </w:t>
      </w:r>
      <w:r w:rsidR="00B81014" w:rsidRPr="00290583">
        <w:rPr>
          <w:color w:val="70AD47" w:themeColor="accent6"/>
          <w:sz w:val="24"/>
          <w:szCs w:val="24"/>
        </w:rPr>
        <w:t>(</w:t>
      </w:r>
      <w:r w:rsidR="00CC267C" w:rsidRPr="00290583">
        <w:rPr>
          <w:color w:val="70AD47" w:themeColor="accent6"/>
          <w:sz w:val="24"/>
          <w:szCs w:val="24"/>
        </w:rPr>
        <w:t xml:space="preserve">Freed-Pastor, 2012). </w:t>
      </w:r>
      <w:r w:rsidR="00CC267C">
        <w:rPr>
          <w:sz w:val="24"/>
          <w:szCs w:val="24"/>
        </w:rPr>
        <w:t>P53 mutations are “acquired” and the most common “gene-specific” alterations in found in huma</w:t>
      </w:r>
      <w:r w:rsidR="00425F79">
        <w:rPr>
          <w:sz w:val="24"/>
          <w:szCs w:val="24"/>
        </w:rPr>
        <w:t>n cancers. P53 can typically attain “gain-of-function” “loss-of-function” characteristics when mutated</w:t>
      </w:r>
      <w:r w:rsidR="004240B0">
        <w:rPr>
          <w:sz w:val="24"/>
          <w:szCs w:val="24"/>
        </w:rPr>
        <w:t xml:space="preserve">, usual outcomes include </w:t>
      </w:r>
      <w:r w:rsidR="00D65CF8">
        <w:rPr>
          <w:sz w:val="24"/>
          <w:szCs w:val="24"/>
        </w:rPr>
        <w:t xml:space="preserve">tumor progression and </w:t>
      </w:r>
      <w:r w:rsidR="00EF264E">
        <w:rPr>
          <w:sz w:val="24"/>
          <w:szCs w:val="24"/>
        </w:rPr>
        <w:t xml:space="preserve">an increased resistance to anti-cancer drugs </w:t>
      </w:r>
      <w:r w:rsidR="00EF264E" w:rsidRPr="00290583">
        <w:rPr>
          <w:color w:val="70AD47" w:themeColor="accent6"/>
          <w:sz w:val="24"/>
          <w:szCs w:val="24"/>
        </w:rPr>
        <w:t>(</w:t>
      </w:r>
      <w:r w:rsidR="00FE6E2A" w:rsidRPr="00290583">
        <w:rPr>
          <w:color w:val="70AD47" w:themeColor="accent6"/>
          <w:sz w:val="24"/>
          <w:szCs w:val="24"/>
        </w:rPr>
        <w:t xml:space="preserve">Oren and Rotter, 2010). </w:t>
      </w:r>
    </w:p>
    <w:p w:rsidR="00957CA7" w:rsidRDefault="00957CA7" w:rsidP="00595593">
      <w:pPr>
        <w:spacing w:after="0" w:line="360" w:lineRule="auto"/>
        <w:rPr>
          <w:rFonts w:ascii="Baskerville Old Face" w:eastAsia="Batang" w:hAnsi="Baskerville Old Face"/>
          <w:color w:val="4472C4" w:themeColor="accent5"/>
          <w:sz w:val="28"/>
          <w:szCs w:val="28"/>
        </w:rPr>
      </w:pPr>
      <w:r w:rsidRPr="00957CA7">
        <w:rPr>
          <w:rFonts w:ascii="Baskerville Old Face" w:eastAsia="Batang" w:hAnsi="Baskerville Old Face"/>
          <w:color w:val="4472C4" w:themeColor="accent5"/>
          <w:sz w:val="28"/>
          <w:szCs w:val="28"/>
        </w:rPr>
        <w:t>MDM2 regulation</w:t>
      </w:r>
    </w:p>
    <w:p w:rsidR="00957CA7" w:rsidRPr="00FB3432" w:rsidRDefault="009D4456" w:rsidP="00595593">
      <w:pPr>
        <w:spacing w:after="0" w:line="360" w:lineRule="auto"/>
        <w:rPr>
          <w:rFonts w:eastAsia="Batang" w:cstheme="minorHAnsi"/>
          <w:color w:val="000000" w:themeColor="text1"/>
          <w:sz w:val="24"/>
          <w:szCs w:val="28"/>
        </w:rPr>
      </w:pPr>
      <w:r w:rsidRPr="000E7F22">
        <w:rPr>
          <w:rFonts w:ascii="Baskerville Old Face" w:eastAsia="Batang" w:hAnsi="Baskerville Old Face"/>
          <w:noProof/>
          <w:color w:val="4472C4" w:themeColor="accent5"/>
          <w:sz w:val="28"/>
          <w:szCs w:val="28"/>
        </w:rPr>
        <mc:AlternateContent>
          <mc:Choice Requires="wps">
            <w:drawing>
              <wp:anchor distT="91440" distB="91440" distL="114300" distR="114300" simplePos="0" relativeHeight="251660288" behindDoc="0" locked="0" layoutInCell="1" allowOverlap="1" wp14:anchorId="256FA7BB" wp14:editId="478271F9">
                <wp:simplePos x="0" y="0"/>
                <wp:positionH relativeFrom="page">
                  <wp:posOffset>3949208</wp:posOffset>
                </wp:positionH>
                <wp:positionV relativeFrom="paragraph">
                  <wp:posOffset>1768900</wp:posOffset>
                </wp:positionV>
                <wp:extent cx="3474720" cy="1403985"/>
                <wp:effectExtent l="0" t="0" r="0" b="31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0E7F22" w:rsidRPr="00320B1A" w:rsidRDefault="00320B1A">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Figure 1: MDMDMDMDMDMDMDMDMDMDMD</w:t>
                            </w:r>
                            <w:r w:rsidR="00EE19E2" w:rsidRPr="00320B1A">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This model shows how MDM2 and p53 interact.</w:t>
                            </w:r>
                            <w:r w:rsidR="00EE19E2" w:rsidRPr="00320B1A">
                              <w:rPr>
                                <w:rFonts w:ascii="Arial" w:hAnsi="Arial" w:cs="Arial"/>
                                <w:color w:val="333333"/>
                                <w:sz w:val="20"/>
                                <w:szCs w:val="20"/>
                                <w:shd w:val="clear" w:color="auto" w:fill="FFFFFF"/>
                              </w:rPr>
                              <w:t xml:space="preserve"> p53 </w:t>
                            </w:r>
                            <w:r>
                              <w:rPr>
                                <w:rFonts w:ascii="Arial" w:hAnsi="Arial" w:cs="Arial"/>
                                <w:color w:val="333333"/>
                                <w:sz w:val="20"/>
                                <w:szCs w:val="20"/>
                                <w:shd w:val="clear" w:color="auto" w:fill="FFFFFF"/>
                              </w:rPr>
                              <w:t>activates transcription of MDM2.</w:t>
                            </w:r>
                            <w:r w:rsidR="00EE19E2" w:rsidRPr="00320B1A">
                              <w:rPr>
                                <w:rFonts w:ascii="Arial" w:hAnsi="Arial" w:cs="Arial"/>
                                <w:color w:val="333333"/>
                                <w:sz w:val="20"/>
                                <w:szCs w:val="20"/>
                                <w:shd w:val="clear" w:color="auto" w:fill="FFFFFF"/>
                              </w:rPr>
                              <w:t xml:space="preserve"> MDM2 </w:t>
                            </w:r>
                            <w:r>
                              <w:rPr>
                                <w:rFonts w:ascii="Arial" w:hAnsi="Arial" w:cs="Arial"/>
                                <w:color w:val="333333"/>
                                <w:sz w:val="20"/>
                                <w:szCs w:val="20"/>
                                <w:shd w:val="clear" w:color="auto" w:fill="FFFFFF"/>
                              </w:rPr>
                              <w:t>then</w:t>
                            </w:r>
                            <w:r w:rsidR="00EE19E2" w:rsidRPr="00320B1A">
                              <w:rPr>
                                <w:rFonts w:ascii="Arial" w:hAnsi="Arial" w:cs="Arial"/>
                                <w:color w:val="333333"/>
                                <w:sz w:val="20"/>
                                <w:szCs w:val="20"/>
                                <w:shd w:val="clear" w:color="auto" w:fill="FFFFFF"/>
                              </w:rPr>
                              <w:t xml:space="preserve"> binds to p53 and acts as an E3 ubiquitin ligase</w:t>
                            </w:r>
                            <w:r>
                              <w:rPr>
                                <w:rFonts w:ascii="Arial" w:hAnsi="Arial" w:cs="Arial"/>
                                <w:color w:val="333333"/>
                                <w:sz w:val="20"/>
                                <w:szCs w:val="20"/>
                                <w:shd w:val="clear" w:color="auto" w:fill="FFFFFF"/>
                              </w:rPr>
                              <w:t>.</w:t>
                            </w:r>
                            <w:r w:rsidR="00EE19E2" w:rsidRPr="00320B1A">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The ligase </w:t>
                            </w:r>
                            <w:r w:rsidR="00EE19E2" w:rsidRPr="00320B1A">
                              <w:rPr>
                                <w:rFonts w:ascii="Arial" w:hAnsi="Arial" w:cs="Arial"/>
                                <w:color w:val="333333"/>
                                <w:sz w:val="20"/>
                                <w:szCs w:val="20"/>
                                <w:shd w:val="clear" w:color="auto" w:fill="FFFFFF"/>
                              </w:rPr>
                              <w:t>t</w:t>
                            </w:r>
                            <w:r>
                              <w:rPr>
                                <w:rFonts w:ascii="Arial" w:hAnsi="Arial" w:cs="Arial"/>
                                <w:color w:val="333333"/>
                                <w:sz w:val="20"/>
                                <w:szCs w:val="20"/>
                                <w:shd w:val="clear" w:color="auto" w:fill="FFFFFF"/>
                              </w:rPr>
                              <w:t>hen targets p53 for degradation thus</w:t>
                            </w:r>
                            <w:r w:rsidR="00EE19E2" w:rsidRPr="00320B1A">
                              <w:rPr>
                                <w:rFonts w:ascii="Arial" w:hAnsi="Arial" w:cs="Arial"/>
                                <w:color w:val="333333"/>
                                <w:sz w:val="20"/>
                                <w:szCs w:val="20"/>
                                <w:shd w:val="clear" w:color="auto" w:fill="FFFFFF"/>
                              </w:rPr>
                              <w:t xml:space="preserve"> inhibiting its own transcription</w:t>
                            </w:r>
                            <w:r>
                              <w:rPr>
                                <w:rFonts w:ascii="Arial" w:hAnsi="Arial" w:cs="Arial"/>
                                <w:color w:val="333333"/>
                                <w:sz w:val="20"/>
                                <w:szCs w:val="20"/>
                                <w:shd w:val="clear" w:color="auto" w:fill="FFFFFF"/>
                              </w:rPr>
                              <w:t xml:space="preserve"> </w:t>
                            </w:r>
                            <w:r w:rsidR="00EE19E2" w:rsidRPr="00290583">
                              <w:rPr>
                                <w:rFonts w:ascii="Arial" w:hAnsi="Arial" w:cs="Arial"/>
                                <w:color w:val="70AD47" w:themeColor="accent6"/>
                                <w:sz w:val="20"/>
                                <w:szCs w:val="20"/>
                                <w:shd w:val="clear" w:color="auto" w:fill="FFFFFF"/>
                              </w:rPr>
                              <w:t>(Bartel, 2002)</w:t>
                            </w:r>
                            <w:r w:rsidRPr="00290583">
                              <w:rPr>
                                <w:rFonts w:ascii="Arial" w:hAnsi="Arial" w:cs="Arial"/>
                                <w:color w:val="70AD47" w:themeColor="accent6"/>
                                <w:sz w:val="20"/>
                                <w:szCs w:val="20"/>
                                <w:shd w:val="clear" w:color="auto" w:fill="FFFFFF"/>
                              </w:rPr>
                              <w: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256FA7BB" id="_x0000_t202" coordsize="21600,21600" o:spt="202" path="m,l,21600r21600,l21600,xe">
                <v:stroke joinstyle="miter"/>
                <v:path gradientshapeok="t" o:connecttype="rect"/>
              </v:shapetype>
              <v:shape id="Text Box 2" o:spid="_x0000_s1026" type="#_x0000_t202" style="position:absolute;margin-left:310.95pt;margin-top:139.3pt;width:273.6pt;height:110.55pt;z-index:25166028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" filled="f" stroked="f">
                <v:textbox style="mso-fit-shape-to-text:t">
                  <w:txbxContent>
                    <w:p w:rsidR="000E7F22" w:rsidRPr="00320B1A" w:rsidRDefault="00320B1A">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Figure 1: MDMDMDMDMDMDMDMDMDMDMD</w:t>
                      </w:r>
                      <w:r w:rsidR="00EE19E2" w:rsidRPr="00320B1A">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This model shows how MDM2 and p53 interact.</w:t>
                      </w:r>
                      <w:r w:rsidR="00EE19E2" w:rsidRPr="00320B1A">
                        <w:rPr>
                          <w:rFonts w:ascii="Arial" w:hAnsi="Arial" w:cs="Arial"/>
                          <w:color w:val="333333"/>
                          <w:sz w:val="20"/>
                          <w:szCs w:val="20"/>
                          <w:shd w:val="clear" w:color="auto" w:fill="FFFFFF"/>
                        </w:rPr>
                        <w:t xml:space="preserve"> p53 </w:t>
                      </w:r>
                      <w:r>
                        <w:rPr>
                          <w:rFonts w:ascii="Arial" w:hAnsi="Arial" w:cs="Arial"/>
                          <w:color w:val="333333"/>
                          <w:sz w:val="20"/>
                          <w:szCs w:val="20"/>
                          <w:shd w:val="clear" w:color="auto" w:fill="FFFFFF"/>
                        </w:rPr>
                        <w:t>activates transcription of MDM2.</w:t>
                      </w:r>
                      <w:r w:rsidR="00EE19E2" w:rsidRPr="00320B1A">
                        <w:rPr>
                          <w:rFonts w:ascii="Arial" w:hAnsi="Arial" w:cs="Arial"/>
                          <w:color w:val="333333"/>
                          <w:sz w:val="20"/>
                          <w:szCs w:val="20"/>
                          <w:shd w:val="clear" w:color="auto" w:fill="FFFFFF"/>
                        </w:rPr>
                        <w:t xml:space="preserve"> MDM2 </w:t>
                      </w:r>
                      <w:r>
                        <w:rPr>
                          <w:rFonts w:ascii="Arial" w:hAnsi="Arial" w:cs="Arial"/>
                          <w:color w:val="333333"/>
                          <w:sz w:val="20"/>
                          <w:szCs w:val="20"/>
                          <w:shd w:val="clear" w:color="auto" w:fill="FFFFFF"/>
                        </w:rPr>
                        <w:t>then</w:t>
                      </w:r>
                      <w:r w:rsidR="00EE19E2" w:rsidRPr="00320B1A">
                        <w:rPr>
                          <w:rFonts w:ascii="Arial" w:hAnsi="Arial" w:cs="Arial"/>
                          <w:color w:val="333333"/>
                          <w:sz w:val="20"/>
                          <w:szCs w:val="20"/>
                          <w:shd w:val="clear" w:color="auto" w:fill="FFFFFF"/>
                        </w:rPr>
                        <w:t xml:space="preserve"> binds to p53 and acts as an E3 ubiquitin ligase</w:t>
                      </w:r>
                      <w:r>
                        <w:rPr>
                          <w:rFonts w:ascii="Arial" w:hAnsi="Arial" w:cs="Arial"/>
                          <w:color w:val="333333"/>
                          <w:sz w:val="20"/>
                          <w:szCs w:val="20"/>
                          <w:shd w:val="clear" w:color="auto" w:fill="FFFFFF"/>
                        </w:rPr>
                        <w:t>.</w:t>
                      </w:r>
                      <w:r w:rsidR="00EE19E2" w:rsidRPr="00320B1A">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The ligase </w:t>
                      </w:r>
                      <w:r w:rsidR="00EE19E2" w:rsidRPr="00320B1A">
                        <w:rPr>
                          <w:rFonts w:ascii="Arial" w:hAnsi="Arial" w:cs="Arial"/>
                          <w:color w:val="333333"/>
                          <w:sz w:val="20"/>
                          <w:szCs w:val="20"/>
                          <w:shd w:val="clear" w:color="auto" w:fill="FFFFFF"/>
                        </w:rPr>
                        <w:t>t</w:t>
                      </w:r>
                      <w:r>
                        <w:rPr>
                          <w:rFonts w:ascii="Arial" w:hAnsi="Arial" w:cs="Arial"/>
                          <w:color w:val="333333"/>
                          <w:sz w:val="20"/>
                          <w:szCs w:val="20"/>
                          <w:shd w:val="clear" w:color="auto" w:fill="FFFFFF"/>
                        </w:rPr>
                        <w:t>hen targets p53 for degradation thus</w:t>
                      </w:r>
                      <w:r w:rsidR="00EE19E2" w:rsidRPr="00320B1A">
                        <w:rPr>
                          <w:rFonts w:ascii="Arial" w:hAnsi="Arial" w:cs="Arial"/>
                          <w:color w:val="333333"/>
                          <w:sz w:val="20"/>
                          <w:szCs w:val="20"/>
                          <w:shd w:val="clear" w:color="auto" w:fill="FFFFFF"/>
                        </w:rPr>
                        <w:t xml:space="preserve"> inhibiting its own transcription</w:t>
                      </w:r>
                      <w:r>
                        <w:rPr>
                          <w:rFonts w:ascii="Arial" w:hAnsi="Arial" w:cs="Arial"/>
                          <w:color w:val="333333"/>
                          <w:sz w:val="20"/>
                          <w:szCs w:val="20"/>
                          <w:shd w:val="clear" w:color="auto" w:fill="FFFFFF"/>
                        </w:rPr>
                        <w:t xml:space="preserve"> </w:t>
                      </w:r>
                      <w:r w:rsidR="00EE19E2" w:rsidRPr="00290583">
                        <w:rPr>
                          <w:rFonts w:ascii="Arial" w:hAnsi="Arial" w:cs="Arial"/>
                          <w:color w:val="70AD47" w:themeColor="accent6"/>
                          <w:sz w:val="20"/>
                          <w:szCs w:val="20"/>
                          <w:shd w:val="clear" w:color="auto" w:fill="FFFFFF"/>
                        </w:rPr>
                        <w:t>(Bartel, 2002)</w:t>
                      </w:r>
                      <w:r w:rsidRPr="00290583">
                        <w:rPr>
                          <w:rFonts w:ascii="Arial" w:hAnsi="Arial" w:cs="Arial"/>
                          <w:color w:val="70AD47" w:themeColor="accent6"/>
                          <w:sz w:val="20"/>
                          <w:szCs w:val="20"/>
                          <w:shd w:val="clear" w:color="auto" w:fill="FFFFFF"/>
                        </w:rPr>
                        <w:t>.</w:t>
                      </w:r>
                    </w:p>
                  </w:txbxContent>
                </v:textbox>
                <w10:wrap type="topAndBottom" anchorx="page"/>
              </v:shape>
            </w:pict>
          </mc:Fallback>
        </mc:AlternateContent>
      </w:r>
      <w:r w:rsidR="00EE19E2">
        <w:rPr>
          <w:rFonts w:eastAsia="Batang" w:cstheme="minorHAnsi"/>
          <w:noProof/>
          <w:color w:val="000000" w:themeColor="text1"/>
          <w:sz w:val="24"/>
          <w:szCs w:val="28"/>
        </w:rPr>
        <w:drawing>
          <wp:anchor distT="0" distB="0" distL="114300" distR="114300" simplePos="0" relativeHeight="251661312" behindDoc="0" locked="0" layoutInCell="1" allowOverlap="1" wp14:anchorId="50304593" wp14:editId="66EA019A">
            <wp:simplePos x="0" y="0"/>
            <wp:positionH relativeFrom="margin">
              <wp:posOffset>3700407</wp:posOffset>
            </wp:positionH>
            <wp:positionV relativeFrom="margin">
              <wp:posOffset>5309015</wp:posOffset>
            </wp:positionV>
            <wp:extent cx="2971165" cy="1943100"/>
            <wp:effectExtent l="0" t="0" r="635" b="0"/>
            <wp:wrapSquare wrapText="bothSides"/>
            <wp:docPr id="3" name="Picture 3" descr="\\Mac\Home\Desktop\Screen Shot 2016-04-29 at 7.34.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ome\Desktop\Screen Shot 2016-04-29 at 7.34.50 PM.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1165" cy="1943100"/>
                    </a:xfrm>
                    <a:prstGeom prst="rect">
                      <a:avLst/>
                    </a:prstGeom>
                    <a:noFill/>
                    <a:ln>
                      <a:noFill/>
                    </a:ln>
                  </pic:spPr>
                </pic:pic>
              </a:graphicData>
            </a:graphic>
            <wp14:sizeRelV relativeFrom="margin">
              <wp14:pctHeight>0</wp14:pctHeight>
            </wp14:sizeRelV>
          </wp:anchor>
        </w:drawing>
      </w:r>
      <w:r w:rsidR="00E34F2B">
        <w:rPr>
          <w:rFonts w:eastAsia="Batang" w:cstheme="minorHAnsi"/>
          <w:color w:val="000000" w:themeColor="text1"/>
          <w:sz w:val="24"/>
          <w:szCs w:val="28"/>
        </w:rPr>
        <w:t>The functional and transcriptional activity of p53 is commonly inhibited by an on</w:t>
      </w:r>
      <w:r w:rsidR="00D53301">
        <w:rPr>
          <w:rFonts w:eastAsia="Batang" w:cstheme="minorHAnsi"/>
          <w:color w:val="000000" w:themeColor="text1"/>
          <w:sz w:val="24"/>
          <w:szCs w:val="28"/>
        </w:rPr>
        <w:t>coprotein know</w:t>
      </w:r>
      <w:r w:rsidR="00074934">
        <w:rPr>
          <w:rFonts w:eastAsia="Batang" w:cstheme="minorHAnsi"/>
          <w:color w:val="000000" w:themeColor="text1"/>
          <w:sz w:val="24"/>
          <w:szCs w:val="28"/>
        </w:rPr>
        <w:t>n</w:t>
      </w:r>
      <w:r w:rsidR="00D53301">
        <w:rPr>
          <w:rFonts w:eastAsia="Batang" w:cstheme="minorHAnsi"/>
          <w:color w:val="000000" w:themeColor="text1"/>
          <w:sz w:val="24"/>
          <w:szCs w:val="28"/>
        </w:rPr>
        <w:t xml:space="preserve"> as MDM2</w:t>
      </w:r>
      <w:r w:rsidR="00B85360">
        <w:rPr>
          <w:rFonts w:eastAsia="Batang" w:cstheme="minorHAnsi"/>
          <w:color w:val="000000" w:themeColor="text1"/>
          <w:sz w:val="24"/>
          <w:szCs w:val="28"/>
        </w:rPr>
        <w:t>.</w:t>
      </w:r>
      <w:r w:rsidR="0082656B" w:rsidRPr="0082656B">
        <w:rPr>
          <w:rFonts w:eastAsia="Batang" w:cstheme="minorHAnsi"/>
          <w:noProof/>
          <w:color w:val="000000" w:themeColor="text1"/>
          <w:sz w:val="24"/>
          <w:szCs w:val="28"/>
        </w:rPr>
        <w:t xml:space="preserve"> </w:t>
      </w:r>
      <w:r w:rsidR="008C74CF">
        <w:rPr>
          <w:rFonts w:eastAsia="Batang" w:cstheme="minorHAnsi"/>
          <w:noProof/>
          <w:color w:val="000000" w:themeColor="text1"/>
          <w:sz w:val="24"/>
          <w:szCs w:val="28"/>
        </w:rPr>
        <w:t xml:space="preserve">MDM2 is </w:t>
      </w:r>
      <w:r w:rsidR="00DD0199">
        <w:rPr>
          <w:rFonts w:eastAsia="Batang" w:cstheme="minorHAnsi"/>
          <w:noProof/>
          <w:color w:val="000000" w:themeColor="text1"/>
          <w:sz w:val="24"/>
          <w:szCs w:val="28"/>
        </w:rPr>
        <w:t>known as a negative regulator of p53</w:t>
      </w:r>
      <w:r w:rsidR="00DD0199">
        <w:rPr>
          <w:rFonts w:eastAsia="Batang" w:cstheme="minorHAnsi"/>
          <w:noProof/>
          <w:color w:val="000000" w:themeColor="text1"/>
          <w:sz w:val="24"/>
          <w:szCs w:val="28"/>
        </w:rPr>
        <w:t xml:space="preserve"> and responsible for ca</w:t>
      </w:r>
      <w:r w:rsidR="006B6C65">
        <w:rPr>
          <w:rFonts w:eastAsia="Batang" w:cstheme="minorHAnsi"/>
          <w:noProof/>
          <w:color w:val="000000" w:themeColor="text1"/>
          <w:sz w:val="24"/>
          <w:szCs w:val="28"/>
        </w:rPr>
        <w:t>ncer progression by</w:t>
      </w:r>
      <w:r w:rsidR="00DD0199">
        <w:rPr>
          <w:rFonts w:eastAsia="Batang" w:cstheme="minorHAnsi"/>
          <w:noProof/>
          <w:color w:val="000000" w:themeColor="text1"/>
          <w:sz w:val="24"/>
          <w:szCs w:val="28"/>
        </w:rPr>
        <w:t xml:space="preserve"> deactivating p53. </w:t>
      </w:r>
      <w:r w:rsidR="006B6C65">
        <w:rPr>
          <w:rFonts w:eastAsia="Batang" w:cstheme="minorHAnsi"/>
          <w:noProof/>
          <w:color w:val="000000" w:themeColor="text1"/>
          <w:sz w:val="24"/>
          <w:szCs w:val="28"/>
        </w:rPr>
        <w:t>p53</w:t>
      </w:r>
      <w:r w:rsidR="006B6C65">
        <w:rPr>
          <w:rFonts w:eastAsia="Batang" w:cstheme="minorHAnsi"/>
          <w:noProof/>
          <w:color w:val="000000" w:themeColor="text1"/>
          <w:sz w:val="24"/>
          <w:szCs w:val="28"/>
        </w:rPr>
        <w:t xml:space="preserve"> essentially</w:t>
      </w:r>
      <w:r w:rsidR="006B6C65">
        <w:rPr>
          <w:rFonts w:eastAsia="Batang" w:cstheme="minorHAnsi"/>
          <w:noProof/>
          <w:color w:val="000000" w:themeColor="text1"/>
          <w:sz w:val="24"/>
          <w:szCs w:val="28"/>
        </w:rPr>
        <w:t xml:space="preserve"> activates the transcription of MDM2</w:t>
      </w:r>
      <w:r w:rsidR="006B6C65">
        <w:rPr>
          <w:rFonts w:eastAsia="Batang" w:cstheme="minorHAnsi"/>
          <w:noProof/>
          <w:color w:val="000000" w:themeColor="text1"/>
          <w:sz w:val="24"/>
          <w:szCs w:val="28"/>
        </w:rPr>
        <w:t xml:space="preserve"> by</w:t>
      </w:r>
      <w:r w:rsidR="00B96253">
        <w:rPr>
          <w:rFonts w:eastAsia="Batang" w:cstheme="minorHAnsi"/>
          <w:noProof/>
          <w:color w:val="000000" w:themeColor="text1"/>
          <w:sz w:val="24"/>
          <w:szCs w:val="28"/>
        </w:rPr>
        <w:t xml:space="preserve"> upregulation </w:t>
      </w:r>
      <w:r w:rsidR="00B96253" w:rsidRPr="00290583">
        <w:rPr>
          <w:rFonts w:eastAsia="Batang" w:cstheme="minorHAnsi"/>
          <w:noProof/>
          <w:color w:val="70AD47" w:themeColor="accent6"/>
          <w:sz w:val="24"/>
          <w:szCs w:val="28"/>
        </w:rPr>
        <w:t>(</w:t>
      </w:r>
      <w:r w:rsidR="0010634B" w:rsidRPr="00290583">
        <w:rPr>
          <w:rFonts w:eastAsia="Batang" w:cstheme="minorHAnsi"/>
          <w:noProof/>
          <w:color w:val="70AD47" w:themeColor="accent6"/>
          <w:sz w:val="24"/>
          <w:szCs w:val="28"/>
        </w:rPr>
        <w:t>Ren, 2014).</w:t>
      </w:r>
      <w:r w:rsidR="006F1742" w:rsidRPr="00290583">
        <w:rPr>
          <w:rFonts w:eastAsia="Batang" w:cstheme="minorHAnsi"/>
          <w:noProof/>
          <w:color w:val="70AD47" w:themeColor="accent6"/>
          <w:sz w:val="24"/>
          <w:szCs w:val="28"/>
        </w:rPr>
        <w:t xml:space="preserve"> </w:t>
      </w:r>
      <w:r w:rsidR="006F1742">
        <w:rPr>
          <w:rFonts w:eastAsia="Batang" w:cstheme="minorHAnsi"/>
          <w:noProof/>
          <w:color w:val="000000" w:themeColor="text1"/>
          <w:sz w:val="24"/>
          <w:szCs w:val="28"/>
        </w:rPr>
        <w:t>Furthermore,</w:t>
      </w:r>
      <w:r w:rsidR="006B6C65">
        <w:rPr>
          <w:rFonts w:eastAsia="Batang" w:cstheme="minorHAnsi"/>
          <w:noProof/>
          <w:color w:val="000000" w:themeColor="text1"/>
          <w:sz w:val="24"/>
          <w:szCs w:val="28"/>
        </w:rPr>
        <w:t xml:space="preserve"> </w:t>
      </w:r>
      <w:r w:rsidR="00DD0199">
        <w:rPr>
          <w:rFonts w:eastAsia="Batang" w:cstheme="minorHAnsi"/>
          <w:noProof/>
          <w:color w:val="000000" w:themeColor="text1"/>
          <w:sz w:val="24"/>
          <w:szCs w:val="28"/>
        </w:rPr>
        <w:t xml:space="preserve">MDM2 operates as </w:t>
      </w:r>
      <w:r w:rsidR="00F504EB">
        <w:rPr>
          <w:rFonts w:eastAsia="Batang" w:cstheme="minorHAnsi"/>
          <w:noProof/>
          <w:color w:val="000000" w:themeColor="text1"/>
          <w:sz w:val="24"/>
          <w:szCs w:val="28"/>
        </w:rPr>
        <w:t xml:space="preserve">an E3 ubiquitin-protein </w:t>
      </w:r>
      <w:r w:rsidR="00F504EB">
        <w:rPr>
          <w:rFonts w:eastAsia="Batang" w:cstheme="minorHAnsi"/>
          <w:noProof/>
          <w:color w:val="000000" w:themeColor="text1"/>
          <w:sz w:val="24"/>
          <w:szCs w:val="28"/>
        </w:rPr>
        <w:lastRenderedPageBreak/>
        <w:t>ligase, t</w:t>
      </w:r>
      <w:r w:rsidR="00202AFF">
        <w:rPr>
          <w:rFonts w:eastAsia="Batang" w:cstheme="minorHAnsi"/>
          <w:noProof/>
          <w:color w:val="000000" w:themeColor="text1"/>
          <w:sz w:val="24"/>
          <w:szCs w:val="28"/>
        </w:rPr>
        <w:t>his means</w:t>
      </w:r>
      <w:r w:rsidR="008C74CF">
        <w:rPr>
          <w:rFonts w:eastAsia="Batang" w:cstheme="minorHAnsi"/>
          <w:noProof/>
          <w:color w:val="000000" w:themeColor="text1"/>
          <w:sz w:val="24"/>
          <w:szCs w:val="28"/>
        </w:rPr>
        <w:t xml:space="preserve"> </w:t>
      </w:r>
      <w:r w:rsidR="00DD0199">
        <w:rPr>
          <w:rFonts w:eastAsia="Batang" w:cstheme="minorHAnsi"/>
          <w:noProof/>
          <w:color w:val="000000" w:themeColor="text1"/>
          <w:sz w:val="24"/>
          <w:szCs w:val="28"/>
        </w:rPr>
        <w:t>it binds to its target (p53 protein)</w:t>
      </w:r>
      <w:r w:rsidR="00202AFF">
        <w:rPr>
          <w:rFonts w:eastAsia="Batang" w:cstheme="minorHAnsi"/>
          <w:noProof/>
          <w:color w:val="000000" w:themeColor="text1"/>
          <w:sz w:val="24"/>
          <w:szCs w:val="28"/>
        </w:rPr>
        <w:t xml:space="preserve"> through an E3 enzyme complex</w:t>
      </w:r>
      <w:r w:rsidR="00DD0199">
        <w:rPr>
          <w:rFonts w:eastAsia="Batang" w:cstheme="minorHAnsi"/>
          <w:noProof/>
          <w:color w:val="000000" w:themeColor="text1"/>
          <w:sz w:val="24"/>
          <w:szCs w:val="28"/>
        </w:rPr>
        <w:t xml:space="preserve"> due to </w:t>
      </w:r>
      <w:r w:rsidR="006B6C65">
        <w:rPr>
          <w:rFonts w:eastAsia="Batang" w:cstheme="minorHAnsi"/>
          <w:noProof/>
          <w:color w:val="000000" w:themeColor="text1"/>
          <w:sz w:val="24"/>
          <w:szCs w:val="28"/>
        </w:rPr>
        <w:t xml:space="preserve">transcriptional </w:t>
      </w:r>
      <w:r w:rsidR="00DD0199">
        <w:rPr>
          <w:rFonts w:eastAsia="Batang" w:cstheme="minorHAnsi"/>
          <w:noProof/>
          <w:color w:val="000000" w:themeColor="text1"/>
          <w:sz w:val="24"/>
          <w:szCs w:val="28"/>
        </w:rPr>
        <w:t>recognition</w:t>
      </w:r>
      <w:r w:rsidR="00DB0A81">
        <w:rPr>
          <w:rFonts w:eastAsia="Batang" w:cstheme="minorHAnsi"/>
          <w:noProof/>
          <w:color w:val="000000" w:themeColor="text1"/>
          <w:sz w:val="24"/>
          <w:szCs w:val="28"/>
        </w:rPr>
        <w:t xml:space="preserve"> on the N-terminal domain on the polypeptide chain.</w:t>
      </w:r>
      <w:r w:rsidR="006F1742">
        <w:rPr>
          <w:rFonts w:eastAsia="Batang" w:cstheme="minorHAnsi"/>
          <w:noProof/>
          <w:color w:val="000000" w:themeColor="text1"/>
          <w:sz w:val="24"/>
          <w:szCs w:val="28"/>
        </w:rPr>
        <w:t xml:space="preserve"> </w:t>
      </w:r>
      <w:r w:rsidR="00F504EB">
        <w:rPr>
          <w:rFonts w:eastAsia="Batang" w:cstheme="minorHAnsi"/>
          <w:noProof/>
          <w:color w:val="000000" w:themeColor="text1"/>
          <w:sz w:val="24"/>
          <w:szCs w:val="28"/>
        </w:rPr>
        <w:t>I</w:t>
      </w:r>
      <w:r w:rsidR="006F1742">
        <w:rPr>
          <w:rFonts w:eastAsia="Batang" w:cstheme="minorHAnsi"/>
          <w:noProof/>
          <w:color w:val="000000" w:themeColor="text1"/>
          <w:sz w:val="24"/>
          <w:szCs w:val="28"/>
        </w:rPr>
        <w:t>n essence</w:t>
      </w:r>
      <w:r w:rsidR="00F504EB">
        <w:rPr>
          <w:rFonts w:eastAsia="Batang" w:cstheme="minorHAnsi"/>
          <w:noProof/>
          <w:color w:val="000000" w:themeColor="text1"/>
          <w:sz w:val="24"/>
          <w:szCs w:val="28"/>
        </w:rPr>
        <w:t xml:space="preserve">, the </w:t>
      </w:r>
      <w:r w:rsidR="00DD0199">
        <w:rPr>
          <w:rFonts w:eastAsia="Batang" w:cstheme="minorHAnsi"/>
          <w:noProof/>
          <w:color w:val="000000" w:themeColor="text1"/>
          <w:sz w:val="24"/>
          <w:szCs w:val="28"/>
        </w:rPr>
        <w:t>ubiquitin</w:t>
      </w:r>
      <w:r w:rsidR="006F1742">
        <w:rPr>
          <w:rFonts w:eastAsia="Batang" w:cstheme="minorHAnsi"/>
          <w:noProof/>
          <w:color w:val="000000" w:themeColor="text1"/>
          <w:sz w:val="24"/>
          <w:szCs w:val="28"/>
        </w:rPr>
        <w:t xml:space="preserve"> </w:t>
      </w:r>
      <w:r w:rsidR="00202AFF">
        <w:rPr>
          <w:rFonts w:eastAsia="Batang" w:cstheme="minorHAnsi"/>
          <w:noProof/>
          <w:color w:val="000000" w:themeColor="text1"/>
          <w:sz w:val="24"/>
          <w:szCs w:val="28"/>
        </w:rPr>
        <w:t xml:space="preserve">proteins </w:t>
      </w:r>
      <w:r w:rsidR="00F504EB">
        <w:rPr>
          <w:rFonts w:eastAsia="Batang" w:cstheme="minorHAnsi"/>
          <w:noProof/>
          <w:color w:val="000000" w:themeColor="text1"/>
          <w:sz w:val="24"/>
          <w:szCs w:val="28"/>
        </w:rPr>
        <w:t xml:space="preserve">are </w:t>
      </w:r>
      <w:r w:rsidR="00202AFF">
        <w:rPr>
          <w:rFonts w:eastAsia="Batang" w:cstheme="minorHAnsi"/>
          <w:noProof/>
          <w:color w:val="000000" w:themeColor="text1"/>
          <w:sz w:val="24"/>
          <w:szCs w:val="28"/>
        </w:rPr>
        <w:t>loaded in</w:t>
      </w:r>
      <w:r w:rsidR="00F504EB">
        <w:rPr>
          <w:rFonts w:eastAsia="Batang" w:cstheme="minorHAnsi"/>
          <w:noProof/>
          <w:color w:val="000000" w:themeColor="text1"/>
          <w:sz w:val="24"/>
          <w:szCs w:val="28"/>
        </w:rPr>
        <w:t>to</w:t>
      </w:r>
      <w:r w:rsidR="00202AFF">
        <w:rPr>
          <w:rFonts w:eastAsia="Batang" w:cstheme="minorHAnsi"/>
          <w:noProof/>
          <w:color w:val="000000" w:themeColor="text1"/>
          <w:sz w:val="24"/>
          <w:szCs w:val="28"/>
        </w:rPr>
        <w:t xml:space="preserve"> the</w:t>
      </w:r>
      <w:r w:rsidR="00F504EB">
        <w:rPr>
          <w:rFonts w:eastAsia="Batang" w:cstheme="minorHAnsi"/>
          <w:noProof/>
          <w:color w:val="000000" w:themeColor="text1"/>
          <w:sz w:val="24"/>
          <w:szCs w:val="28"/>
        </w:rPr>
        <w:t xml:space="preserve"> E3</w:t>
      </w:r>
      <w:r w:rsidR="00202AFF">
        <w:rPr>
          <w:rFonts w:eastAsia="Batang" w:cstheme="minorHAnsi"/>
          <w:noProof/>
          <w:color w:val="000000" w:themeColor="text1"/>
          <w:sz w:val="24"/>
          <w:szCs w:val="28"/>
        </w:rPr>
        <w:t xml:space="preserve"> complex</w:t>
      </w:r>
      <w:r w:rsidR="002D3FB2">
        <w:rPr>
          <w:rFonts w:eastAsia="Batang" w:cstheme="minorHAnsi"/>
          <w:noProof/>
          <w:color w:val="000000" w:themeColor="text1"/>
          <w:sz w:val="24"/>
          <w:szCs w:val="28"/>
        </w:rPr>
        <w:t xml:space="preserve"> to signal</w:t>
      </w:r>
      <w:r w:rsidR="00202AFF">
        <w:rPr>
          <w:rFonts w:eastAsia="Batang" w:cstheme="minorHAnsi"/>
          <w:noProof/>
          <w:color w:val="000000" w:themeColor="text1"/>
          <w:sz w:val="24"/>
          <w:szCs w:val="28"/>
        </w:rPr>
        <w:t xml:space="preserve"> </w:t>
      </w:r>
      <w:r w:rsidR="002D3FB2">
        <w:rPr>
          <w:rFonts w:eastAsia="Batang" w:cstheme="minorHAnsi"/>
          <w:noProof/>
          <w:color w:val="000000" w:themeColor="text1"/>
          <w:sz w:val="24"/>
          <w:szCs w:val="28"/>
        </w:rPr>
        <w:t xml:space="preserve">protein degradtion </w:t>
      </w:r>
      <w:r w:rsidR="00F504EB">
        <w:rPr>
          <w:rFonts w:eastAsia="Batang" w:cstheme="minorHAnsi"/>
          <w:noProof/>
          <w:color w:val="000000" w:themeColor="text1"/>
          <w:sz w:val="24"/>
          <w:szCs w:val="28"/>
        </w:rPr>
        <w:t xml:space="preserve">in order </w:t>
      </w:r>
      <w:r w:rsidR="00202AFF">
        <w:rPr>
          <w:rFonts w:eastAsia="Batang" w:cstheme="minorHAnsi"/>
          <w:noProof/>
          <w:color w:val="000000" w:themeColor="text1"/>
          <w:sz w:val="24"/>
          <w:szCs w:val="28"/>
        </w:rPr>
        <w:t>to</w:t>
      </w:r>
      <w:r w:rsidR="00F504EB">
        <w:rPr>
          <w:rFonts w:eastAsia="Batang" w:cstheme="minorHAnsi"/>
          <w:noProof/>
          <w:color w:val="000000" w:themeColor="text1"/>
          <w:sz w:val="24"/>
          <w:szCs w:val="28"/>
        </w:rPr>
        <w:t xml:space="preserve"> deactivate the transcription</w:t>
      </w:r>
      <w:r w:rsidR="00202AFF">
        <w:rPr>
          <w:rFonts w:eastAsia="Batang" w:cstheme="minorHAnsi"/>
          <w:noProof/>
          <w:color w:val="000000" w:themeColor="text1"/>
          <w:sz w:val="24"/>
          <w:szCs w:val="28"/>
        </w:rPr>
        <w:t xml:space="preserve"> p53</w:t>
      </w:r>
      <w:r w:rsidR="00DD0199">
        <w:rPr>
          <w:rFonts w:eastAsia="Batang" w:cstheme="minorHAnsi"/>
          <w:noProof/>
          <w:color w:val="000000" w:themeColor="text1"/>
          <w:sz w:val="24"/>
          <w:szCs w:val="28"/>
        </w:rPr>
        <w:t xml:space="preserve"> </w:t>
      </w:r>
      <w:r w:rsidR="002D3FB2">
        <w:rPr>
          <w:rFonts w:eastAsia="Batang" w:cstheme="minorHAnsi"/>
          <w:noProof/>
          <w:color w:val="000000" w:themeColor="text1"/>
          <w:sz w:val="24"/>
          <w:szCs w:val="28"/>
        </w:rPr>
        <w:t xml:space="preserve">proteins by the cell </w:t>
      </w:r>
      <w:r w:rsidR="00F504EB" w:rsidRPr="00290583">
        <w:rPr>
          <w:rFonts w:eastAsia="Batang" w:cstheme="minorHAnsi"/>
          <w:noProof/>
          <w:color w:val="70AD47" w:themeColor="accent6"/>
          <w:sz w:val="24"/>
          <w:szCs w:val="28"/>
        </w:rPr>
        <w:t>(</w:t>
      </w:r>
      <w:r w:rsidR="0079602F" w:rsidRPr="00290583">
        <w:rPr>
          <w:rFonts w:eastAsia="Batang" w:cstheme="minorHAnsi"/>
          <w:noProof/>
          <w:color w:val="70AD47" w:themeColor="accent6"/>
          <w:sz w:val="24"/>
          <w:szCs w:val="28"/>
        </w:rPr>
        <w:t>Bartel, 2002).</w:t>
      </w:r>
    </w:p>
    <w:p w:rsidR="00957CA7" w:rsidRDefault="00171D2B" w:rsidP="00595593">
      <w:pPr>
        <w:spacing w:after="0" w:line="360" w:lineRule="auto"/>
        <w:rPr>
          <w:rFonts w:ascii="Baskerville Old Face" w:eastAsia="Batang" w:hAnsi="Baskerville Old Face"/>
          <w:color w:val="4472C4" w:themeColor="accent5"/>
          <w:sz w:val="28"/>
          <w:szCs w:val="28"/>
        </w:rPr>
      </w:pPr>
      <w:r>
        <w:rPr>
          <w:rFonts w:ascii="Baskerville Old Face" w:eastAsia="Batang" w:hAnsi="Baskerville Old Face"/>
          <w:color w:val="4472C4" w:themeColor="accent5"/>
          <w:sz w:val="28"/>
          <w:szCs w:val="28"/>
        </w:rPr>
        <w:t xml:space="preserve">The </w:t>
      </w:r>
      <w:r w:rsidR="00957CA7">
        <w:rPr>
          <w:rFonts w:ascii="Baskerville Old Face" w:eastAsia="Batang" w:hAnsi="Baskerville Old Face"/>
          <w:color w:val="4472C4" w:themeColor="accent5"/>
          <w:sz w:val="28"/>
          <w:szCs w:val="28"/>
        </w:rPr>
        <w:t>miRNA</w:t>
      </w:r>
      <w:r>
        <w:rPr>
          <w:rFonts w:ascii="Baskerville Old Face" w:eastAsia="Batang" w:hAnsi="Baskerville Old Face"/>
          <w:color w:val="4472C4" w:themeColor="accent5"/>
          <w:sz w:val="28"/>
          <w:szCs w:val="28"/>
        </w:rPr>
        <w:t xml:space="preserve"> molecule</w:t>
      </w:r>
    </w:p>
    <w:p w:rsidR="00171D2B" w:rsidRPr="004B458F" w:rsidRDefault="00241A02" w:rsidP="00595593">
      <w:pPr>
        <w:spacing w:after="0" w:line="360" w:lineRule="auto"/>
        <w:rPr>
          <w:rFonts w:eastAsia="Batang" w:cstheme="minorHAnsi"/>
          <w:color w:val="70AD47" w:themeColor="accent6"/>
          <w:sz w:val="24"/>
          <w:szCs w:val="28"/>
        </w:rPr>
      </w:pPr>
      <w:r>
        <w:rPr>
          <w:rFonts w:eastAsia="Batang" w:cstheme="minorHAnsi"/>
          <w:color w:val="000000" w:themeColor="text1"/>
          <w:sz w:val="24"/>
          <w:szCs w:val="28"/>
        </w:rPr>
        <w:t>MicroRNAs exist as small non-coding RNAs involved in regulatory processes in cancer initiation and development. In</w:t>
      </w:r>
      <w:r w:rsidR="002D0FB0">
        <w:rPr>
          <w:rFonts w:eastAsia="Batang" w:cstheme="minorHAnsi"/>
          <w:color w:val="000000" w:themeColor="text1"/>
          <w:sz w:val="24"/>
          <w:szCs w:val="28"/>
        </w:rPr>
        <w:t xml:space="preserve"> order to combat the detrimental effects of MDM2 on the </w:t>
      </w:r>
      <w:r w:rsidR="00A642FE">
        <w:rPr>
          <w:rFonts w:eastAsia="Batang" w:cstheme="minorHAnsi"/>
          <w:color w:val="000000" w:themeColor="text1"/>
          <w:sz w:val="24"/>
          <w:szCs w:val="28"/>
        </w:rPr>
        <w:t>transcriptional activity of p53 the use of miRNAs has been observed to deactivate MDM2 entirely.</w:t>
      </w:r>
      <w:r w:rsidR="00290583">
        <w:rPr>
          <w:rFonts w:eastAsia="Batang" w:cstheme="minorHAnsi"/>
          <w:color w:val="000000" w:themeColor="text1"/>
          <w:sz w:val="24"/>
          <w:szCs w:val="28"/>
        </w:rPr>
        <w:t xml:space="preserve"> </w:t>
      </w:r>
      <w:r w:rsidR="00930D67">
        <w:rPr>
          <w:rFonts w:eastAsia="Batang" w:cstheme="minorHAnsi"/>
          <w:color w:val="000000" w:themeColor="text1"/>
          <w:sz w:val="24"/>
          <w:szCs w:val="28"/>
        </w:rPr>
        <w:t>Relative to p53 mutation, degradation</w:t>
      </w:r>
      <w:r w:rsidR="00E209CD">
        <w:rPr>
          <w:rFonts w:eastAsia="Batang" w:cstheme="minorHAnsi"/>
          <w:color w:val="000000" w:themeColor="text1"/>
          <w:sz w:val="24"/>
          <w:szCs w:val="28"/>
        </w:rPr>
        <w:t xml:space="preserve"> and cancer growth</w:t>
      </w:r>
      <w:r w:rsidR="00930D67">
        <w:rPr>
          <w:rFonts w:eastAsia="Batang" w:cstheme="minorHAnsi"/>
          <w:color w:val="000000" w:themeColor="text1"/>
          <w:sz w:val="24"/>
          <w:szCs w:val="28"/>
        </w:rPr>
        <w:t xml:space="preserve"> in cells</w:t>
      </w:r>
      <w:r w:rsidR="00E209CD">
        <w:rPr>
          <w:rFonts w:eastAsia="Batang" w:cstheme="minorHAnsi"/>
          <w:color w:val="000000" w:themeColor="text1"/>
          <w:sz w:val="24"/>
          <w:szCs w:val="28"/>
        </w:rPr>
        <w:t xml:space="preserve">, miRNAs are typically used for post transcriptional regulation </w:t>
      </w:r>
      <w:r w:rsidR="00930D67">
        <w:rPr>
          <w:rFonts w:eastAsia="Batang" w:cstheme="minorHAnsi"/>
          <w:color w:val="000000" w:themeColor="text1"/>
          <w:sz w:val="24"/>
          <w:szCs w:val="28"/>
        </w:rPr>
        <w:t>of p53’</w:t>
      </w:r>
      <w:r w:rsidR="00BB7F33">
        <w:rPr>
          <w:rFonts w:eastAsia="Batang" w:cstheme="minorHAnsi"/>
          <w:color w:val="000000" w:themeColor="text1"/>
          <w:sz w:val="24"/>
          <w:szCs w:val="28"/>
        </w:rPr>
        <w:t xml:space="preserve">s gene expression </w:t>
      </w:r>
      <w:r w:rsidR="00BB7F33">
        <w:rPr>
          <w:rFonts w:eastAsia="Batang" w:cstheme="minorHAnsi"/>
          <w:color w:val="70AD47" w:themeColor="accent6"/>
          <w:sz w:val="24"/>
          <w:szCs w:val="28"/>
        </w:rPr>
        <w:t>(</w:t>
      </w:r>
      <w:r w:rsidR="00ED5387">
        <w:rPr>
          <w:rFonts w:eastAsia="Batang" w:cstheme="minorHAnsi"/>
          <w:color w:val="70AD47" w:themeColor="accent6"/>
          <w:sz w:val="24"/>
          <w:szCs w:val="28"/>
        </w:rPr>
        <w:t xml:space="preserve">Fortunato, 2014). </w:t>
      </w:r>
      <w:r w:rsidR="00ED5387">
        <w:rPr>
          <w:rFonts w:eastAsia="Batang" w:cstheme="minorHAnsi"/>
          <w:color w:val="000000" w:themeColor="text1"/>
          <w:sz w:val="24"/>
          <w:szCs w:val="28"/>
        </w:rPr>
        <w:t>For all intents and purposes this means they are able to alter deactivated or mutated p53</w:t>
      </w:r>
      <w:r w:rsidR="00E17AE5">
        <w:rPr>
          <w:rFonts w:eastAsia="Batang" w:cstheme="minorHAnsi"/>
          <w:color w:val="000000" w:themeColor="text1"/>
          <w:sz w:val="24"/>
          <w:szCs w:val="28"/>
        </w:rPr>
        <w:t xml:space="preserve"> and restore their</w:t>
      </w:r>
      <w:r w:rsidR="00ED5387">
        <w:rPr>
          <w:rFonts w:eastAsia="Batang" w:cstheme="minorHAnsi"/>
          <w:color w:val="000000" w:themeColor="text1"/>
          <w:sz w:val="24"/>
          <w:szCs w:val="28"/>
        </w:rPr>
        <w:t xml:space="preserve"> tumor suppressor functionality in cells.</w:t>
      </w:r>
      <w:r w:rsidR="00E17AE5">
        <w:rPr>
          <w:rFonts w:eastAsia="Batang" w:cstheme="minorHAnsi"/>
          <w:color w:val="000000" w:themeColor="text1"/>
          <w:sz w:val="24"/>
          <w:szCs w:val="28"/>
        </w:rPr>
        <w:t xml:space="preserve"> </w:t>
      </w:r>
      <w:r w:rsidR="003518FA">
        <w:rPr>
          <w:rFonts w:eastAsia="Batang" w:cstheme="minorHAnsi"/>
          <w:color w:val="000000" w:themeColor="text1"/>
          <w:sz w:val="24"/>
          <w:szCs w:val="28"/>
        </w:rPr>
        <w:t>MicroRNAs</w:t>
      </w:r>
      <w:r w:rsidR="00962BA3">
        <w:rPr>
          <w:rFonts w:eastAsia="Batang" w:cstheme="minorHAnsi"/>
          <w:color w:val="000000" w:themeColor="text1"/>
          <w:sz w:val="24"/>
          <w:szCs w:val="28"/>
        </w:rPr>
        <w:t xml:space="preserve"> in relation to p53 regulation</w:t>
      </w:r>
      <w:r w:rsidR="003518FA">
        <w:rPr>
          <w:rFonts w:eastAsia="Batang" w:cstheme="minorHAnsi"/>
          <w:color w:val="000000" w:themeColor="text1"/>
          <w:sz w:val="24"/>
          <w:szCs w:val="28"/>
        </w:rPr>
        <w:t xml:space="preserve"> operate by binding to the 3’ untranslated region on </w:t>
      </w:r>
      <w:r w:rsidR="00962BA3">
        <w:rPr>
          <w:rFonts w:eastAsia="Batang" w:cstheme="minorHAnsi"/>
          <w:color w:val="000000" w:themeColor="text1"/>
          <w:sz w:val="24"/>
          <w:szCs w:val="28"/>
        </w:rPr>
        <w:t xml:space="preserve">the MDM2 </w:t>
      </w:r>
      <w:r w:rsidR="005E0C88">
        <w:rPr>
          <w:rFonts w:eastAsia="Batang" w:cstheme="minorHAnsi"/>
          <w:color w:val="000000" w:themeColor="text1"/>
          <w:sz w:val="24"/>
          <w:szCs w:val="28"/>
        </w:rPr>
        <w:t xml:space="preserve">messenger </w:t>
      </w:r>
      <w:r w:rsidR="003518FA">
        <w:rPr>
          <w:rFonts w:eastAsia="Batang" w:cstheme="minorHAnsi"/>
          <w:color w:val="000000" w:themeColor="text1"/>
          <w:sz w:val="24"/>
          <w:szCs w:val="28"/>
        </w:rPr>
        <w:t>RNA,</w:t>
      </w:r>
      <w:r w:rsidR="005E0C88">
        <w:rPr>
          <w:rFonts w:eastAsia="Batang" w:cstheme="minorHAnsi"/>
          <w:color w:val="000000" w:themeColor="text1"/>
          <w:sz w:val="24"/>
          <w:szCs w:val="28"/>
        </w:rPr>
        <w:t xml:space="preserve"> at this location they have the functionality to suppress protein synthesis or initia</w:t>
      </w:r>
      <w:r w:rsidR="00962BA3">
        <w:rPr>
          <w:rFonts w:eastAsia="Batang" w:cstheme="minorHAnsi"/>
          <w:color w:val="000000" w:themeColor="text1"/>
          <w:sz w:val="24"/>
          <w:szCs w:val="28"/>
        </w:rPr>
        <w:t>t</w:t>
      </w:r>
      <w:r w:rsidR="004B458F">
        <w:rPr>
          <w:rFonts w:eastAsia="Batang" w:cstheme="minorHAnsi"/>
          <w:color w:val="000000" w:themeColor="text1"/>
          <w:sz w:val="24"/>
          <w:szCs w:val="28"/>
        </w:rPr>
        <w:t xml:space="preserve">e the messenger RNA to degrade </w:t>
      </w:r>
      <w:r w:rsidR="00466DE8">
        <w:rPr>
          <w:rFonts w:eastAsia="Batang" w:cstheme="minorHAnsi"/>
          <w:color w:val="70AD47" w:themeColor="accent6"/>
          <w:sz w:val="24"/>
          <w:szCs w:val="28"/>
        </w:rPr>
        <w:t>(J</w:t>
      </w:r>
      <w:r w:rsidR="000672C1">
        <w:rPr>
          <w:rFonts w:eastAsia="Batang" w:cstheme="minorHAnsi"/>
          <w:color w:val="70AD47" w:themeColor="accent6"/>
          <w:sz w:val="24"/>
          <w:szCs w:val="28"/>
        </w:rPr>
        <w:t>ans</w:t>
      </w:r>
      <w:r w:rsidR="00466DE8">
        <w:rPr>
          <w:rFonts w:eastAsia="Batang" w:cstheme="minorHAnsi"/>
          <w:color w:val="70AD47" w:themeColor="accent6"/>
          <w:sz w:val="24"/>
          <w:szCs w:val="28"/>
        </w:rPr>
        <w:t>son, 2015).</w:t>
      </w:r>
    </w:p>
    <w:p w:rsidR="000D7DF3" w:rsidRDefault="000D7DF3" w:rsidP="00595593">
      <w:pPr>
        <w:spacing w:after="0" w:line="360" w:lineRule="auto"/>
        <w:rPr>
          <w:rFonts w:ascii="Baskerville Old Face" w:eastAsia="Batang" w:hAnsi="Baskerville Old Face"/>
          <w:sz w:val="28"/>
          <w:szCs w:val="28"/>
        </w:rPr>
      </w:pPr>
      <w:r>
        <w:rPr>
          <w:rFonts w:ascii="Baskerville Old Face" w:eastAsia="Batang" w:hAnsi="Baskerville Old Face"/>
          <w:sz w:val="28"/>
          <w:szCs w:val="28"/>
        </w:rPr>
        <w:t>Key questions in consideration:</w:t>
      </w:r>
    </w:p>
    <w:p w:rsidR="000D7DF3" w:rsidRDefault="000D7DF3" w:rsidP="00595593">
      <w:pPr>
        <w:spacing w:after="0" w:line="360" w:lineRule="auto"/>
        <w:rPr>
          <w:rFonts w:ascii="Baskerville Old Face" w:eastAsia="Batang" w:hAnsi="Baskerville Old Face"/>
          <w:sz w:val="28"/>
          <w:szCs w:val="28"/>
        </w:rPr>
      </w:pPr>
      <w:r>
        <w:rPr>
          <w:rFonts w:ascii="Baskerville Old Face" w:eastAsia="Batang" w:hAnsi="Baskerville Old Face"/>
          <w:sz w:val="28"/>
          <w:szCs w:val="28"/>
        </w:rPr>
        <w:t>Does p53 los</w:t>
      </w:r>
      <w:r w:rsidR="00211F51">
        <w:rPr>
          <w:rFonts w:ascii="Baskerville Old Face" w:eastAsia="Batang" w:hAnsi="Baskerville Old Face"/>
          <w:sz w:val="28"/>
          <w:szCs w:val="28"/>
        </w:rPr>
        <w:t>s of function by MDM2 degradation</w:t>
      </w:r>
      <w:r>
        <w:rPr>
          <w:rFonts w:ascii="Baskerville Old Face" w:eastAsia="Batang" w:hAnsi="Baskerville Old Face"/>
          <w:sz w:val="28"/>
          <w:szCs w:val="28"/>
        </w:rPr>
        <w:t xml:space="preserve"> cause a certain type of cancer over another</w:t>
      </w:r>
      <w:r w:rsidR="00211F51">
        <w:rPr>
          <w:rFonts w:ascii="Baskerville Old Face" w:eastAsia="Batang" w:hAnsi="Baskerville Old Face"/>
          <w:sz w:val="28"/>
          <w:szCs w:val="28"/>
        </w:rPr>
        <w:t xml:space="preserve"> relative to the effectiveness of certain types of miRNA</w:t>
      </w:r>
      <w:r>
        <w:rPr>
          <w:rFonts w:ascii="Baskerville Old Face" w:eastAsia="Batang" w:hAnsi="Baskerville Old Face"/>
          <w:sz w:val="28"/>
          <w:szCs w:val="28"/>
        </w:rPr>
        <w:t>?</w:t>
      </w:r>
    </w:p>
    <w:p w:rsidR="006E247A" w:rsidRDefault="000D7DF3" w:rsidP="00595593">
      <w:pPr>
        <w:spacing w:after="0" w:line="360" w:lineRule="auto"/>
        <w:rPr>
          <w:rFonts w:ascii="Baskerville Old Face" w:eastAsia="Batang" w:hAnsi="Baskerville Old Face"/>
          <w:sz w:val="28"/>
          <w:szCs w:val="28"/>
        </w:rPr>
      </w:pPr>
      <w:r>
        <w:rPr>
          <w:rFonts w:ascii="Baskerville Old Face" w:eastAsia="Batang" w:hAnsi="Baskerville Old Face"/>
          <w:sz w:val="28"/>
          <w:szCs w:val="28"/>
        </w:rPr>
        <w:t>Is lung cancer more prominent over colorectal cancer</w:t>
      </w:r>
      <w:r w:rsidR="00211F51">
        <w:rPr>
          <w:rFonts w:ascii="Baskerville Old Face" w:eastAsia="Batang" w:hAnsi="Baskerville Old Face"/>
          <w:sz w:val="28"/>
          <w:szCs w:val="28"/>
        </w:rPr>
        <w:t xml:space="preserve"> in the case of miRNA regulation of MDM2?</w:t>
      </w:r>
      <w:r>
        <w:rPr>
          <w:rFonts w:ascii="Baskerville Old Face" w:eastAsia="Batang" w:hAnsi="Baskerville Old Face"/>
          <w:sz w:val="28"/>
          <w:szCs w:val="28"/>
        </w:rPr>
        <w:t xml:space="preserve"> </w:t>
      </w:r>
    </w:p>
    <w:p w:rsidR="00382782" w:rsidRDefault="00382782" w:rsidP="00595593">
      <w:pPr>
        <w:spacing w:after="0" w:line="360" w:lineRule="auto"/>
        <w:rPr>
          <w:rFonts w:ascii="Baskerville Old Face" w:eastAsia="Batang" w:hAnsi="Baskerville Old Face"/>
          <w:sz w:val="28"/>
          <w:szCs w:val="28"/>
        </w:rPr>
      </w:pPr>
    </w:p>
    <w:p w:rsidR="006E247A" w:rsidRDefault="006E247A" w:rsidP="00595593">
      <w:pPr>
        <w:spacing w:after="0" w:line="360" w:lineRule="auto"/>
        <w:rPr>
          <w:rFonts w:ascii="Baskerville Old Face" w:eastAsia="Batang" w:hAnsi="Baskerville Old Face"/>
          <w:color w:val="538135" w:themeColor="accent6" w:themeShade="BF"/>
          <w:sz w:val="36"/>
          <w:szCs w:val="28"/>
        </w:rPr>
      </w:pPr>
      <w:r w:rsidRPr="0006169B">
        <w:rPr>
          <w:rFonts w:ascii="Baskerville Old Face" w:eastAsia="Batang" w:hAnsi="Baskerville Old Face"/>
          <w:color w:val="538135" w:themeColor="accent6" w:themeShade="BF"/>
          <w:sz w:val="36"/>
          <w:szCs w:val="28"/>
        </w:rPr>
        <w:t>Experiment</w:t>
      </w:r>
    </w:p>
    <w:p w:rsidR="00364F27" w:rsidRDefault="00853254" w:rsidP="006E247A">
      <w:pPr>
        <w:spacing w:after="0" w:line="360" w:lineRule="auto"/>
        <w:rPr>
          <w:noProof/>
          <w:color w:val="000000" w:themeColor="text1"/>
          <w:sz w:val="24"/>
          <w:szCs w:val="24"/>
        </w:rPr>
      </w:pPr>
      <w:r>
        <w:rPr>
          <w:sz w:val="24"/>
          <w:szCs w:val="24"/>
        </w:rPr>
        <w:t xml:space="preserve">In question are the specific effects of miRNA-1827 studied in the experimental proposed by </w:t>
      </w:r>
      <w:r w:rsidRPr="00853254">
        <w:rPr>
          <w:color w:val="70AD47" w:themeColor="accent6"/>
          <w:sz w:val="24"/>
          <w:szCs w:val="24"/>
        </w:rPr>
        <w:t>(Zheng, 2016)</w:t>
      </w:r>
      <w:r w:rsidR="00980FC3">
        <w:rPr>
          <w:color w:val="70AD47" w:themeColor="accent6"/>
          <w:sz w:val="24"/>
          <w:szCs w:val="24"/>
        </w:rPr>
        <w:t xml:space="preserve">; </w:t>
      </w:r>
      <w:r w:rsidR="00980FC3">
        <w:rPr>
          <w:color w:val="000000" w:themeColor="text1"/>
          <w:sz w:val="24"/>
          <w:szCs w:val="24"/>
        </w:rPr>
        <w:t>they aimed to specifically target MDM2 directly by binding miRNA-1827 to the untranslated region of the 3’ end of the MDM2 E3 ubiquitin protein ligase.</w:t>
      </w:r>
      <w:r w:rsidR="0040402D">
        <w:rPr>
          <w:color w:val="000000" w:themeColor="text1"/>
          <w:sz w:val="24"/>
          <w:szCs w:val="24"/>
        </w:rPr>
        <w:t xml:space="preserve"> </w:t>
      </w:r>
      <w:r w:rsidR="00666AD4">
        <w:rPr>
          <w:color w:val="000000" w:themeColor="text1"/>
          <w:sz w:val="24"/>
          <w:szCs w:val="24"/>
        </w:rPr>
        <w:t>The procedure aims to down regulate MDM2 activity by the use of miRNA-</w:t>
      </w:r>
      <w:r w:rsidR="00D47571">
        <w:rPr>
          <w:color w:val="000000" w:themeColor="text1"/>
          <w:sz w:val="24"/>
          <w:szCs w:val="24"/>
        </w:rPr>
        <w:t>1827 in colorectal cancer cells</w:t>
      </w:r>
      <w:r w:rsidR="00822F74">
        <w:rPr>
          <w:color w:val="000000" w:themeColor="text1"/>
          <w:sz w:val="24"/>
          <w:szCs w:val="24"/>
        </w:rPr>
        <w:t>. This experiment</w:t>
      </w:r>
      <w:r w:rsidR="00A801BB">
        <w:rPr>
          <w:color w:val="000000" w:themeColor="text1"/>
          <w:sz w:val="24"/>
          <w:szCs w:val="24"/>
        </w:rPr>
        <w:t>al procedure will follow the same guidelines as those</w:t>
      </w:r>
      <w:r w:rsidR="00FA7F47">
        <w:rPr>
          <w:color w:val="000000" w:themeColor="text1"/>
          <w:sz w:val="24"/>
          <w:szCs w:val="24"/>
        </w:rPr>
        <w:t xml:space="preserve"> presented in </w:t>
      </w:r>
      <w:r w:rsidR="00FA7F47" w:rsidRPr="00083AC0">
        <w:rPr>
          <w:color w:val="70AD47" w:themeColor="accent6"/>
          <w:sz w:val="24"/>
          <w:szCs w:val="24"/>
        </w:rPr>
        <w:t xml:space="preserve">(Zheng, 2016) </w:t>
      </w:r>
      <w:r w:rsidR="00FA7F47">
        <w:rPr>
          <w:color w:val="000000" w:themeColor="text1"/>
          <w:sz w:val="24"/>
          <w:szCs w:val="24"/>
        </w:rPr>
        <w:t xml:space="preserve">as well as excerpts from </w:t>
      </w:r>
      <w:r w:rsidR="00083AC0" w:rsidRPr="00083AC0">
        <w:rPr>
          <w:color w:val="70AD47" w:themeColor="accent6"/>
          <w:sz w:val="24"/>
          <w:szCs w:val="24"/>
        </w:rPr>
        <w:t>(</w:t>
      </w:r>
      <w:r w:rsidR="00083AC0" w:rsidRPr="00083AC0">
        <w:rPr>
          <w:color w:val="70AD47" w:themeColor="accent6"/>
          <w:sz w:val="24"/>
        </w:rPr>
        <w:t>Brighenti</w:t>
      </w:r>
      <w:r w:rsidR="00083AC0" w:rsidRPr="00083AC0">
        <w:rPr>
          <w:color w:val="70AD47" w:themeColor="accent6"/>
          <w:sz w:val="24"/>
        </w:rPr>
        <w:t>, 2015).</w:t>
      </w:r>
      <w:r w:rsidR="00822F74" w:rsidRPr="00083AC0">
        <w:rPr>
          <w:color w:val="70AD47" w:themeColor="accent6"/>
          <w:sz w:val="24"/>
          <w:szCs w:val="24"/>
        </w:rPr>
        <w:t xml:space="preserve"> </w:t>
      </w:r>
      <w:r w:rsidR="00AB6D87">
        <w:rPr>
          <w:color w:val="000000" w:themeColor="text1"/>
          <w:sz w:val="24"/>
          <w:szCs w:val="24"/>
        </w:rPr>
        <w:t xml:space="preserve">To investigate the ability of miRNA-1827 to bind to </w:t>
      </w:r>
    </w:p>
    <w:p w:rsidR="00B041A8" w:rsidRPr="00980FC3" w:rsidRDefault="00AB6D87" w:rsidP="00B041A8">
      <w:pPr>
        <w:spacing w:after="0" w:line="360" w:lineRule="auto"/>
        <w:rPr>
          <w:color w:val="000000" w:themeColor="text1"/>
          <w:sz w:val="24"/>
          <w:szCs w:val="24"/>
        </w:rPr>
      </w:pPr>
      <w:r>
        <w:rPr>
          <w:color w:val="000000" w:themeColor="text1"/>
          <w:sz w:val="24"/>
          <w:szCs w:val="24"/>
        </w:rPr>
        <w:lastRenderedPageBreak/>
        <w:t>MDM2, two</w:t>
      </w:r>
      <w:r w:rsidR="00B041A8">
        <w:rPr>
          <w:color w:val="000000" w:themeColor="text1"/>
          <w:sz w:val="24"/>
          <w:szCs w:val="24"/>
        </w:rPr>
        <w:t xml:space="preserve"> human cell lines are</w:t>
      </w:r>
      <w:r>
        <w:rPr>
          <w:color w:val="000000" w:themeColor="text1"/>
          <w:sz w:val="24"/>
          <w:szCs w:val="24"/>
        </w:rPr>
        <w:t xml:space="preserve"> used, </w:t>
      </w:r>
      <w:r w:rsidR="00836DEF">
        <w:rPr>
          <w:color w:val="000000" w:themeColor="text1"/>
          <w:sz w:val="24"/>
          <w:szCs w:val="24"/>
        </w:rPr>
        <w:t xml:space="preserve">wild type </w:t>
      </w:r>
      <w:r>
        <w:rPr>
          <w:color w:val="000000" w:themeColor="text1"/>
          <w:sz w:val="24"/>
          <w:szCs w:val="24"/>
        </w:rPr>
        <w:t>human colorectal HCT116 p53 +/+</w:t>
      </w:r>
      <w:r w:rsidR="00836DEF">
        <w:rPr>
          <w:color w:val="000000" w:themeColor="text1"/>
          <w:sz w:val="24"/>
          <w:szCs w:val="24"/>
        </w:rPr>
        <w:t xml:space="preserve"> and RKO p53 +/+</w:t>
      </w:r>
      <w:r w:rsidR="00A400CD">
        <w:rPr>
          <w:color w:val="000000" w:themeColor="text1"/>
          <w:sz w:val="24"/>
          <w:szCs w:val="24"/>
        </w:rPr>
        <w:t xml:space="preserve"> also in accordance</w:t>
      </w:r>
      <w:r w:rsidR="00460768">
        <w:rPr>
          <w:color w:val="000000" w:themeColor="text1"/>
          <w:sz w:val="24"/>
          <w:szCs w:val="24"/>
        </w:rPr>
        <w:t>,</w:t>
      </w:r>
      <w:r w:rsidR="00836DEF">
        <w:rPr>
          <w:color w:val="000000" w:themeColor="text1"/>
          <w:sz w:val="24"/>
          <w:szCs w:val="24"/>
        </w:rPr>
        <w:t xml:space="preserve"> </w:t>
      </w:r>
      <w:r w:rsidR="00A400CD">
        <w:rPr>
          <w:color w:val="000000" w:themeColor="text1"/>
          <w:sz w:val="24"/>
          <w:szCs w:val="24"/>
        </w:rPr>
        <w:t xml:space="preserve">mutant p53 -/- </w:t>
      </w:r>
      <w:r w:rsidR="00460768">
        <w:rPr>
          <w:color w:val="000000" w:themeColor="text1"/>
          <w:sz w:val="24"/>
          <w:szCs w:val="24"/>
        </w:rPr>
        <w:t>along with</w:t>
      </w:r>
      <w:r w:rsidR="00631C0A">
        <w:rPr>
          <w:color w:val="000000" w:themeColor="text1"/>
          <w:sz w:val="24"/>
          <w:szCs w:val="24"/>
        </w:rPr>
        <w:t xml:space="preserve"> a miRNA control group containing wild type p53</w:t>
      </w:r>
      <w:r w:rsidR="00B041A8">
        <w:rPr>
          <w:color w:val="000000" w:themeColor="text1"/>
          <w:sz w:val="24"/>
          <w:szCs w:val="24"/>
        </w:rPr>
        <w:t xml:space="preserve"> are also</w:t>
      </w:r>
      <w:r w:rsidR="00631C0A">
        <w:rPr>
          <w:color w:val="000000" w:themeColor="text1"/>
          <w:sz w:val="24"/>
          <w:szCs w:val="24"/>
        </w:rPr>
        <w:t xml:space="preserve"> included. </w:t>
      </w:r>
      <w:r w:rsidR="00B041A8">
        <w:rPr>
          <w:color w:val="000000" w:themeColor="text1"/>
          <w:sz w:val="24"/>
          <w:szCs w:val="24"/>
        </w:rPr>
        <w:t xml:space="preserve">In order to obtain direct evidence of miRNA-1827 interaction with MDM2, pull down assays tagged with biotinylated miRNA-1827(biotin: water soluble B vitamin attached to miRNA) were performed. The levels of MDM2 mRNAs that bind to the biotinylated wild-type, mutant and control miRNA-1827s </w:t>
      </w:r>
      <w:r w:rsidR="00E208CB">
        <w:rPr>
          <w:color w:val="000000" w:themeColor="text1"/>
          <w:sz w:val="24"/>
          <w:szCs w:val="24"/>
        </w:rPr>
        <w:t>are displayed in Figure 2.</w:t>
      </w:r>
      <w:r w:rsidR="00904622">
        <w:rPr>
          <w:color w:val="000000" w:themeColor="text1"/>
          <w:sz w:val="24"/>
          <w:szCs w:val="24"/>
        </w:rPr>
        <w:t xml:space="preserve"> This figure serves to reiterate the fact that MDM2 mRNAs were significantly enriched in the miRNA-1827 pull down assay for both the HCT116 +/+ and RKO +/+ p53 cells.</w:t>
      </w:r>
    </w:p>
    <w:p w:rsidR="00250E9E" w:rsidRDefault="00250E9E" w:rsidP="006E247A">
      <w:pPr>
        <w:spacing w:after="0" w:line="360" w:lineRule="auto"/>
        <w:rPr>
          <w:color w:val="000000" w:themeColor="text1"/>
          <w:sz w:val="24"/>
          <w:szCs w:val="24"/>
        </w:rPr>
      </w:pPr>
    </w:p>
    <w:p w:rsidR="00682FB7" w:rsidRPr="00682FB7" w:rsidRDefault="00682FB7" w:rsidP="006E247A">
      <w:pPr>
        <w:spacing w:after="0" w:line="360" w:lineRule="auto"/>
        <w:rPr>
          <w:rFonts w:ascii="Baskerville Old Face" w:hAnsi="Baskerville Old Face"/>
          <w:color w:val="5B9BD5" w:themeColor="accent1"/>
          <w:sz w:val="28"/>
          <w:szCs w:val="24"/>
        </w:rPr>
      </w:pPr>
      <w:r w:rsidRPr="00682FB7">
        <w:rPr>
          <w:rFonts w:ascii="Baskerville Old Face" w:hAnsi="Baskerville Old Face"/>
          <w:color w:val="5B9BD5" w:themeColor="accent1"/>
          <w:sz w:val="28"/>
          <w:szCs w:val="24"/>
        </w:rPr>
        <w:t>Materials and Methods</w:t>
      </w:r>
    </w:p>
    <w:p w:rsidR="00682FB7" w:rsidRDefault="00170BA1" w:rsidP="006E247A">
      <w:pPr>
        <w:spacing w:after="0" w:line="360" w:lineRule="auto"/>
        <w:rPr>
          <w:sz w:val="24"/>
          <w:szCs w:val="24"/>
        </w:rPr>
      </w:pPr>
      <w:r>
        <w:rPr>
          <w:noProof/>
          <w:color w:val="000000" w:themeColor="text1"/>
          <w:sz w:val="24"/>
          <w:szCs w:val="24"/>
        </w:rPr>
        <w:drawing>
          <wp:anchor distT="0" distB="0" distL="114300" distR="114300" simplePos="0" relativeHeight="251665408" behindDoc="0" locked="0" layoutInCell="1" allowOverlap="1" wp14:anchorId="1365D58F" wp14:editId="44BE7DDB">
            <wp:simplePos x="0" y="0"/>
            <wp:positionH relativeFrom="margin">
              <wp:posOffset>3613300</wp:posOffset>
            </wp:positionH>
            <wp:positionV relativeFrom="margin">
              <wp:posOffset>3533060</wp:posOffset>
            </wp:positionV>
            <wp:extent cx="3157220" cy="1699260"/>
            <wp:effectExtent l="0" t="0" r="5080" b="0"/>
            <wp:wrapSquare wrapText="bothSides"/>
            <wp:docPr id="6" name="Picture 6" descr="\\Mac\Home\Desktop\Screen Shot 2016-04-30 at 3.36.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Home\Desktop\Screen Shot 2016-04-30 at 3.36.34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7220" cy="1699260"/>
                    </a:xfrm>
                    <a:prstGeom prst="rect">
                      <a:avLst/>
                    </a:prstGeom>
                    <a:noFill/>
                    <a:ln>
                      <a:noFill/>
                    </a:ln>
                  </pic:spPr>
                </pic:pic>
              </a:graphicData>
            </a:graphic>
          </wp:anchor>
        </w:drawing>
      </w:r>
      <w:r w:rsidR="004B2072" w:rsidRPr="002216FB">
        <w:rPr>
          <w:rFonts w:ascii="Baskerville Old Face" w:hAnsi="Baskerville Old Face"/>
          <w:noProof/>
          <w:color w:val="538135" w:themeColor="accent6" w:themeShade="BF"/>
          <w:sz w:val="36"/>
          <w:szCs w:val="36"/>
        </w:rPr>
        <mc:AlternateContent>
          <mc:Choice Requires="wps">
            <w:drawing>
              <wp:anchor distT="91440" distB="91440" distL="114300" distR="114300" simplePos="0" relativeHeight="251664384" behindDoc="0" locked="0" layoutInCell="1" allowOverlap="1" wp14:anchorId="3E7FD82D" wp14:editId="49950360">
                <wp:simplePos x="0" y="0"/>
                <wp:positionH relativeFrom="margin">
                  <wp:posOffset>3901148</wp:posOffset>
                </wp:positionH>
                <wp:positionV relativeFrom="margin">
                  <wp:posOffset>5602502</wp:posOffset>
                </wp:positionV>
                <wp:extent cx="2749550" cy="140398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03985"/>
                        </a:xfrm>
                        <a:prstGeom prst="rect">
                          <a:avLst/>
                        </a:prstGeom>
                        <a:noFill/>
                        <a:ln w="9525">
                          <a:noFill/>
                          <a:miter lim="800000"/>
                          <a:headEnd/>
                          <a:tailEnd/>
                        </a:ln>
                      </wps:spPr>
                      <wps:txbx>
                        <w:txbxContent>
                          <w:p w:rsidR="002216FB" w:rsidRDefault="001949BA">
                            <w:pPr>
                              <w:pBdr>
                                <w:top w:val="single" w:sz="24" w:space="8" w:color="5B9BD5" w:themeColor="accent1"/>
                                <w:bottom w:val="single" w:sz="24" w:space="8" w:color="5B9BD5" w:themeColor="accent1"/>
                              </w:pBdr>
                              <w:spacing w:after="0"/>
                              <w:rPr>
                                <w:rFonts w:ascii="TimesNewRomanPSMT" w:hAnsi="TimesNewRomanPSMT" w:cs="TimesNewRomanPSMT"/>
                                <w:strike/>
                                <w:color w:val="1A171A"/>
                                <w:sz w:val="18"/>
                                <w:szCs w:val="18"/>
                              </w:rPr>
                            </w:pPr>
                            <w:r w:rsidRPr="001949BA">
                              <w:rPr>
                                <w:rFonts w:ascii="TimesNewRomanPSMT" w:hAnsi="TimesNewRomanPSMT" w:cs="TimesNewRomanPSMT"/>
                                <w:color w:val="1A171A"/>
                                <w:sz w:val="18"/>
                                <w:szCs w:val="18"/>
                              </w:rPr>
                              <w:t xml:space="preserve">Figure 2: </w:t>
                            </w:r>
                            <w:r>
                              <w:rPr>
                                <w:rFonts w:ascii="TimesNewRomanPSMT" w:hAnsi="TimesNewRomanPSMT" w:cs="TimesNewRomanPSMT"/>
                                <w:b/>
                                <w:bCs/>
                                <w:color w:val="1A171A"/>
                                <w:sz w:val="18"/>
                                <w:szCs w:val="18"/>
                              </w:rPr>
                              <w:t xml:space="preserve">miR-1827 regulates MDM2 through binding to the 3ʹ-UTR of </w:t>
                            </w:r>
                            <w:r>
                              <w:rPr>
                                <w:rFonts w:ascii="TimesNewRomanPSMT" w:hAnsi="TimesNewRomanPSMT" w:cs="TimesNewRomanPSMT"/>
                                <w:b/>
                                <w:bCs/>
                                <w:i/>
                                <w:iCs/>
                                <w:color w:val="1A171A"/>
                                <w:sz w:val="18"/>
                                <w:szCs w:val="18"/>
                              </w:rPr>
                              <w:t>MDM2</w:t>
                            </w:r>
                          </w:p>
                          <w:p w:rsidR="001949BA" w:rsidRPr="001949BA" w:rsidRDefault="001949BA">
                            <w:pPr>
                              <w:pBdr>
                                <w:top w:val="single" w:sz="24" w:space="8" w:color="5B9BD5" w:themeColor="accent1"/>
                                <w:bottom w:val="single" w:sz="24" w:space="8" w:color="5B9BD5" w:themeColor="accent1"/>
                              </w:pBdr>
                              <w:spacing w:after="0"/>
                              <w:rPr>
                                <w:rFonts w:ascii="TimesNewRomanPSMT" w:hAnsi="TimesNewRomanPSMT" w:cs="TimesNewRomanPSMT"/>
                                <w:strike/>
                                <w:color w:val="1A171A"/>
                                <w:sz w:val="18"/>
                                <w:szCs w:val="18"/>
                              </w:rPr>
                            </w:pPr>
                            <w:r w:rsidRPr="001949BA">
                              <w:rPr>
                                <w:rFonts w:ascii="TimesNewRomanPSMT" w:hAnsi="TimesNewRomanPSMT" w:cs="TimesNewRomanPSMT"/>
                                <w:strike/>
                                <w:color w:val="1A171A"/>
                                <w:sz w:val="16"/>
                                <w:szCs w:val="16"/>
                              </w:rPr>
                              <w:t>(</w:t>
                            </w:r>
                            <w:r w:rsidRPr="001949BA">
                              <w:rPr>
                                <w:rFonts w:ascii="TimesNewRomanPSMT" w:hAnsi="TimesNewRomanPSMT" w:cs="TimesNewRomanPSMT"/>
                                <w:b/>
                                <w:bCs/>
                                <w:strike/>
                                <w:color w:val="1A171A"/>
                                <w:sz w:val="16"/>
                                <w:szCs w:val="16"/>
                              </w:rPr>
                              <w:t>A</w:t>
                            </w:r>
                            <w:r w:rsidRPr="001949BA">
                              <w:rPr>
                                <w:rFonts w:ascii="TimesNewRomanPSMT" w:hAnsi="TimesNewRomanPSMT" w:cs="TimesNewRomanPSMT"/>
                                <w:strike/>
                                <w:color w:val="1A171A"/>
                                <w:sz w:val="16"/>
                                <w:szCs w:val="16"/>
                              </w:rPr>
                              <w:t xml:space="preserve">) miR-1827 bound to </w:t>
                            </w:r>
                            <w:r w:rsidRPr="001949BA">
                              <w:rPr>
                                <w:rFonts w:ascii="TimesNewRomanPSMT" w:hAnsi="TimesNewRomanPSMT" w:cs="TimesNewRomanPSMT"/>
                                <w:i/>
                                <w:iCs/>
                                <w:strike/>
                                <w:color w:val="1A171A"/>
                                <w:sz w:val="16"/>
                                <w:szCs w:val="16"/>
                              </w:rPr>
                              <w:t xml:space="preserve">MDM2 </w:t>
                            </w:r>
                            <w:r w:rsidRPr="001949BA">
                              <w:rPr>
                                <w:rFonts w:ascii="TimesNewRomanPSMT" w:hAnsi="TimesNewRomanPSMT" w:cs="TimesNewRomanPSMT"/>
                                <w:strike/>
                                <w:color w:val="1A171A"/>
                                <w:sz w:val="16"/>
                                <w:szCs w:val="16"/>
                              </w:rPr>
                              <w:t xml:space="preserve">mRNA in cells detected by miRNA pull-down assays. HCT116 p53+/+ and RKO p53+/+ cells were transfected with biotinylated miR-1827 (bio-miR-1827) or biotinylated miR-control (bio-miR-con), and collected at 24 h after transfection for miRNA pull-down assays. The levels of </w:t>
                            </w:r>
                            <w:r w:rsidRPr="001949BA">
                              <w:rPr>
                                <w:rFonts w:ascii="TimesNewRomanPSMT" w:hAnsi="TimesNewRomanPSMT" w:cs="TimesNewRomanPSMT"/>
                                <w:i/>
                                <w:iCs/>
                                <w:strike/>
                                <w:color w:val="1A171A"/>
                                <w:sz w:val="16"/>
                                <w:szCs w:val="16"/>
                              </w:rPr>
                              <w:t xml:space="preserve">MDM2 </w:t>
                            </w:r>
                            <w:r w:rsidRPr="001949BA">
                              <w:rPr>
                                <w:rFonts w:ascii="TimesNewRomanPSMT" w:hAnsi="TimesNewRomanPSMT" w:cs="TimesNewRomanPSMT"/>
                                <w:strike/>
                                <w:color w:val="1A171A"/>
                                <w:sz w:val="16"/>
                                <w:szCs w:val="16"/>
                              </w:rPr>
                              <w:t xml:space="preserve">and </w:t>
                            </w:r>
                            <w:r w:rsidRPr="001949BA">
                              <w:rPr>
                                <w:rFonts w:ascii="TimesNewRomanPSMT" w:hAnsi="TimesNewRomanPSMT" w:cs="TimesNewRomanPSMT"/>
                                <w:i/>
                                <w:iCs/>
                                <w:strike/>
                                <w:color w:val="1A171A"/>
                                <w:sz w:val="16"/>
                                <w:szCs w:val="16"/>
                              </w:rPr>
                              <w:t xml:space="preserve">Actin </w:t>
                            </w:r>
                            <w:r w:rsidRPr="001949BA">
                              <w:rPr>
                                <w:rFonts w:ascii="TimesNewRomanPSMT" w:hAnsi="TimesNewRomanPSMT" w:cs="TimesNewRomanPSMT"/>
                                <w:strike/>
                                <w:color w:val="1A171A"/>
                                <w:sz w:val="16"/>
                                <w:szCs w:val="16"/>
                              </w:rPr>
                              <w:t xml:space="preserve">mRNAs bound to bio-miR-1827 or bio-miR-con were analyzed by Taqman real-time PCR assays. The mRNA levels were normalized to input (cellular RNA without incubation with beads) and then to </w:t>
                            </w:r>
                            <w:r w:rsidRPr="001949BA">
                              <w:rPr>
                                <w:rFonts w:ascii="TimesNewRomanPSMT" w:hAnsi="TimesNewRomanPSMT" w:cs="TimesNewRomanPSMT"/>
                                <w:i/>
                                <w:iCs/>
                                <w:strike/>
                                <w:color w:val="1A171A"/>
                                <w:sz w:val="16"/>
                                <w:szCs w:val="16"/>
                              </w:rPr>
                              <w:t>GAPDH</w:t>
                            </w:r>
                            <w:r w:rsidRPr="001949BA">
                              <w:rPr>
                                <w:rFonts w:ascii="TimesNewRomanPSMT" w:hAnsi="TimesNewRomanPSMT" w:cs="TimesNewRomanPSMT"/>
                                <w:strike/>
                                <w:color w:val="1A171A"/>
                                <w:sz w:val="16"/>
                                <w:szCs w:val="16"/>
                              </w:rPr>
                              <w:t xml:space="preserve">. Left panels: The down-regulation of MDM2 and up-regulation of p53 by bio-miR-1827 in cells detected by western-blot assays. Right panel: the enrichment fold with bio-miR-1827 relative to bio-miR-con for </w:t>
                            </w:r>
                            <w:r w:rsidRPr="001949BA">
                              <w:rPr>
                                <w:rFonts w:ascii="TimesNewRomanPSMT" w:hAnsi="TimesNewRomanPSMT" w:cs="TimesNewRomanPSMT"/>
                                <w:i/>
                                <w:iCs/>
                                <w:strike/>
                                <w:color w:val="1A171A"/>
                                <w:sz w:val="16"/>
                                <w:szCs w:val="16"/>
                              </w:rPr>
                              <w:t xml:space="preserve">MDM2 </w:t>
                            </w:r>
                            <w:r w:rsidRPr="001949BA">
                              <w:rPr>
                                <w:rFonts w:ascii="TimesNewRomanPSMT" w:hAnsi="TimesNewRomanPSMT" w:cs="TimesNewRomanPSMT"/>
                                <w:strike/>
                                <w:color w:val="1A171A"/>
                                <w:sz w:val="16"/>
                                <w:szCs w:val="16"/>
                              </w:rPr>
                              <w:t xml:space="preserve">and </w:t>
                            </w:r>
                            <w:r w:rsidRPr="001949BA">
                              <w:rPr>
                                <w:rFonts w:ascii="TimesNewRomanPSMT" w:hAnsi="TimesNewRomanPSMT" w:cs="TimesNewRomanPSMT"/>
                                <w:i/>
                                <w:iCs/>
                                <w:strike/>
                                <w:color w:val="1A171A"/>
                                <w:sz w:val="16"/>
                                <w:szCs w:val="16"/>
                              </w:rPr>
                              <w:t xml:space="preserve">Actin </w:t>
                            </w:r>
                            <w:r w:rsidRPr="001949BA">
                              <w:rPr>
                                <w:rFonts w:ascii="TimesNewRomanPSMT" w:hAnsi="TimesNewRomanPSMT" w:cs="TimesNewRomanPSMT"/>
                                <w:strike/>
                                <w:color w:val="1A171A"/>
                                <w:sz w:val="16"/>
                                <w:szCs w:val="16"/>
                              </w:rPr>
                              <w:t>mRNA.</w:t>
                            </w:r>
                          </w:p>
                          <w:p w:rsidR="002216FB" w:rsidRPr="001949BA" w:rsidRDefault="002216FB">
                            <w:pPr>
                              <w:pBdr>
                                <w:top w:val="single" w:sz="24" w:space="8" w:color="5B9BD5" w:themeColor="accent1"/>
                                <w:bottom w:val="single" w:sz="24" w:space="8" w:color="5B9BD5" w:themeColor="accent1"/>
                              </w:pBdr>
                              <w:spacing w:after="0"/>
                              <w:rPr>
                                <w:i/>
                                <w:iCs/>
                                <w:color w:val="5B9BD5" w:themeColor="accent1"/>
                                <w:sz w:val="24"/>
                              </w:rPr>
                            </w:pPr>
                            <w:r>
                              <w:rPr>
                                <w:rFonts w:ascii="TimesNewRomanPSMT" w:hAnsi="TimesNewRomanPSMT" w:cs="TimesNewRomanPSMT"/>
                                <w:strike/>
                                <w:color w:val="1A171A"/>
                                <w:sz w:val="18"/>
                                <w:szCs w:val="18"/>
                              </w:rPr>
                              <w:t xml:space="preserve"> </w:t>
                            </w:r>
                            <w:r w:rsidRPr="001949BA">
                              <w:rPr>
                                <w:rFonts w:ascii="TimesNewRomanPSMT" w:hAnsi="TimesNewRomanPSMT" w:cs="TimesNewRomanPSMT"/>
                                <w:color w:val="1A171A"/>
                                <w:sz w:val="18"/>
                                <w:szCs w:val="18"/>
                              </w:rPr>
                              <w:t>(Zheng,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7FD82D" id="_x0000_s1027" type="#_x0000_t202" style="position:absolute;margin-left:307.2pt;margin-top:441.15pt;width:216.5pt;height:110.55pt;z-index:25166438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" filled="f" stroked="f">
                <v:textbox style="mso-fit-shape-to-text:t">
                  <w:txbxContent>
                    <w:p w:rsidR="002216FB" w:rsidRDefault="001949BA">
                      <w:pPr>
                        <w:pBdr>
                          <w:top w:val="single" w:sz="24" w:space="8" w:color="5B9BD5" w:themeColor="accent1"/>
                          <w:bottom w:val="single" w:sz="24" w:space="8" w:color="5B9BD5" w:themeColor="accent1"/>
                        </w:pBdr>
                        <w:spacing w:after="0"/>
                        <w:rPr>
                          <w:rFonts w:ascii="TimesNewRomanPSMT" w:hAnsi="TimesNewRomanPSMT" w:cs="TimesNewRomanPSMT"/>
                          <w:strike/>
                          <w:color w:val="1A171A"/>
                          <w:sz w:val="18"/>
                          <w:szCs w:val="18"/>
                        </w:rPr>
                      </w:pPr>
                      <w:r w:rsidRPr="001949BA">
                        <w:rPr>
                          <w:rFonts w:ascii="TimesNewRomanPSMT" w:hAnsi="TimesNewRomanPSMT" w:cs="TimesNewRomanPSMT"/>
                          <w:color w:val="1A171A"/>
                          <w:sz w:val="18"/>
                          <w:szCs w:val="18"/>
                        </w:rPr>
                        <w:t xml:space="preserve">Figure 2: </w:t>
                      </w:r>
                      <w:r>
                        <w:rPr>
                          <w:rFonts w:ascii="TimesNewRomanPSMT" w:hAnsi="TimesNewRomanPSMT" w:cs="TimesNewRomanPSMT"/>
                          <w:b/>
                          <w:bCs/>
                          <w:color w:val="1A171A"/>
                          <w:sz w:val="18"/>
                          <w:szCs w:val="18"/>
                        </w:rPr>
                        <w:t xml:space="preserve">miR-1827 regulates MDM2 through binding to the 3ʹ-UTR of </w:t>
                      </w:r>
                      <w:r>
                        <w:rPr>
                          <w:rFonts w:ascii="TimesNewRomanPSMT" w:hAnsi="TimesNewRomanPSMT" w:cs="TimesNewRomanPSMT"/>
                          <w:b/>
                          <w:bCs/>
                          <w:i/>
                          <w:iCs/>
                          <w:color w:val="1A171A"/>
                          <w:sz w:val="18"/>
                          <w:szCs w:val="18"/>
                        </w:rPr>
                        <w:t>MDM2</w:t>
                      </w:r>
                    </w:p>
                    <w:p w:rsidR="001949BA" w:rsidRPr="001949BA" w:rsidRDefault="001949BA">
                      <w:pPr>
                        <w:pBdr>
                          <w:top w:val="single" w:sz="24" w:space="8" w:color="5B9BD5" w:themeColor="accent1"/>
                          <w:bottom w:val="single" w:sz="24" w:space="8" w:color="5B9BD5" w:themeColor="accent1"/>
                        </w:pBdr>
                        <w:spacing w:after="0"/>
                        <w:rPr>
                          <w:rFonts w:ascii="TimesNewRomanPSMT" w:hAnsi="TimesNewRomanPSMT" w:cs="TimesNewRomanPSMT"/>
                          <w:strike/>
                          <w:color w:val="1A171A"/>
                          <w:sz w:val="18"/>
                          <w:szCs w:val="18"/>
                        </w:rPr>
                      </w:pPr>
                      <w:r w:rsidRPr="001949BA">
                        <w:rPr>
                          <w:rFonts w:ascii="TimesNewRomanPSMT" w:hAnsi="TimesNewRomanPSMT" w:cs="TimesNewRomanPSMT"/>
                          <w:strike/>
                          <w:color w:val="1A171A"/>
                          <w:sz w:val="16"/>
                          <w:szCs w:val="16"/>
                        </w:rPr>
                        <w:t>(</w:t>
                      </w:r>
                      <w:r w:rsidRPr="001949BA">
                        <w:rPr>
                          <w:rFonts w:ascii="TimesNewRomanPSMT" w:hAnsi="TimesNewRomanPSMT" w:cs="TimesNewRomanPSMT"/>
                          <w:b/>
                          <w:bCs/>
                          <w:strike/>
                          <w:color w:val="1A171A"/>
                          <w:sz w:val="16"/>
                          <w:szCs w:val="16"/>
                        </w:rPr>
                        <w:t>A</w:t>
                      </w:r>
                      <w:r w:rsidRPr="001949BA">
                        <w:rPr>
                          <w:rFonts w:ascii="TimesNewRomanPSMT" w:hAnsi="TimesNewRomanPSMT" w:cs="TimesNewRomanPSMT"/>
                          <w:strike/>
                          <w:color w:val="1A171A"/>
                          <w:sz w:val="16"/>
                          <w:szCs w:val="16"/>
                        </w:rPr>
                        <w:t xml:space="preserve">) miR-1827 bound to </w:t>
                      </w:r>
                      <w:r w:rsidRPr="001949BA">
                        <w:rPr>
                          <w:rFonts w:ascii="TimesNewRomanPSMT" w:hAnsi="TimesNewRomanPSMT" w:cs="TimesNewRomanPSMT"/>
                          <w:i/>
                          <w:iCs/>
                          <w:strike/>
                          <w:color w:val="1A171A"/>
                          <w:sz w:val="16"/>
                          <w:szCs w:val="16"/>
                        </w:rPr>
                        <w:t xml:space="preserve">MDM2 </w:t>
                      </w:r>
                      <w:r w:rsidRPr="001949BA">
                        <w:rPr>
                          <w:rFonts w:ascii="TimesNewRomanPSMT" w:hAnsi="TimesNewRomanPSMT" w:cs="TimesNewRomanPSMT"/>
                          <w:strike/>
                          <w:color w:val="1A171A"/>
                          <w:sz w:val="16"/>
                          <w:szCs w:val="16"/>
                        </w:rPr>
                        <w:t xml:space="preserve">mRNA in cells detected by miRNA pull-down assays. HCT116 p53+/+ and RKO p53+/+ cells were transfected with biotinylated miR-1827 (bio-miR-1827) or biotinylated miR-control (bio-miR-con), and collected at 24 h after transfection for miRNA pull-down assays. The levels of </w:t>
                      </w:r>
                      <w:r w:rsidRPr="001949BA">
                        <w:rPr>
                          <w:rFonts w:ascii="TimesNewRomanPSMT" w:hAnsi="TimesNewRomanPSMT" w:cs="TimesNewRomanPSMT"/>
                          <w:i/>
                          <w:iCs/>
                          <w:strike/>
                          <w:color w:val="1A171A"/>
                          <w:sz w:val="16"/>
                          <w:szCs w:val="16"/>
                        </w:rPr>
                        <w:t xml:space="preserve">MDM2 </w:t>
                      </w:r>
                      <w:r w:rsidRPr="001949BA">
                        <w:rPr>
                          <w:rFonts w:ascii="TimesNewRomanPSMT" w:hAnsi="TimesNewRomanPSMT" w:cs="TimesNewRomanPSMT"/>
                          <w:strike/>
                          <w:color w:val="1A171A"/>
                          <w:sz w:val="16"/>
                          <w:szCs w:val="16"/>
                        </w:rPr>
                        <w:t xml:space="preserve">and </w:t>
                      </w:r>
                      <w:r w:rsidRPr="001949BA">
                        <w:rPr>
                          <w:rFonts w:ascii="TimesNewRomanPSMT" w:hAnsi="TimesNewRomanPSMT" w:cs="TimesNewRomanPSMT"/>
                          <w:i/>
                          <w:iCs/>
                          <w:strike/>
                          <w:color w:val="1A171A"/>
                          <w:sz w:val="16"/>
                          <w:szCs w:val="16"/>
                        </w:rPr>
                        <w:t xml:space="preserve">Actin </w:t>
                      </w:r>
                      <w:r w:rsidRPr="001949BA">
                        <w:rPr>
                          <w:rFonts w:ascii="TimesNewRomanPSMT" w:hAnsi="TimesNewRomanPSMT" w:cs="TimesNewRomanPSMT"/>
                          <w:strike/>
                          <w:color w:val="1A171A"/>
                          <w:sz w:val="16"/>
                          <w:szCs w:val="16"/>
                        </w:rPr>
                        <w:t xml:space="preserve">mRNAs bound to bio-miR-1827 or bio-miR-con were analyzed by Taqman real-time PCR assays. The mRNA levels were normalized to input (cellular RNA without incubation with beads) and then to </w:t>
                      </w:r>
                      <w:r w:rsidRPr="001949BA">
                        <w:rPr>
                          <w:rFonts w:ascii="TimesNewRomanPSMT" w:hAnsi="TimesNewRomanPSMT" w:cs="TimesNewRomanPSMT"/>
                          <w:i/>
                          <w:iCs/>
                          <w:strike/>
                          <w:color w:val="1A171A"/>
                          <w:sz w:val="16"/>
                          <w:szCs w:val="16"/>
                        </w:rPr>
                        <w:t>GAPDH</w:t>
                      </w:r>
                      <w:r w:rsidRPr="001949BA">
                        <w:rPr>
                          <w:rFonts w:ascii="TimesNewRomanPSMT" w:hAnsi="TimesNewRomanPSMT" w:cs="TimesNewRomanPSMT"/>
                          <w:strike/>
                          <w:color w:val="1A171A"/>
                          <w:sz w:val="16"/>
                          <w:szCs w:val="16"/>
                        </w:rPr>
                        <w:t xml:space="preserve">. Left panels: The down-regulation of MDM2 and up-regulation of p53 by bio-miR-1827 in cells detected by western-blot assays. Right panel: the enrichment fold with bio-miR-1827 relative to bio-miR-con for </w:t>
                      </w:r>
                      <w:r w:rsidRPr="001949BA">
                        <w:rPr>
                          <w:rFonts w:ascii="TimesNewRomanPSMT" w:hAnsi="TimesNewRomanPSMT" w:cs="TimesNewRomanPSMT"/>
                          <w:i/>
                          <w:iCs/>
                          <w:strike/>
                          <w:color w:val="1A171A"/>
                          <w:sz w:val="16"/>
                          <w:szCs w:val="16"/>
                        </w:rPr>
                        <w:t xml:space="preserve">MDM2 </w:t>
                      </w:r>
                      <w:r w:rsidRPr="001949BA">
                        <w:rPr>
                          <w:rFonts w:ascii="TimesNewRomanPSMT" w:hAnsi="TimesNewRomanPSMT" w:cs="TimesNewRomanPSMT"/>
                          <w:strike/>
                          <w:color w:val="1A171A"/>
                          <w:sz w:val="16"/>
                          <w:szCs w:val="16"/>
                        </w:rPr>
                        <w:t xml:space="preserve">and </w:t>
                      </w:r>
                      <w:r w:rsidRPr="001949BA">
                        <w:rPr>
                          <w:rFonts w:ascii="TimesNewRomanPSMT" w:hAnsi="TimesNewRomanPSMT" w:cs="TimesNewRomanPSMT"/>
                          <w:i/>
                          <w:iCs/>
                          <w:strike/>
                          <w:color w:val="1A171A"/>
                          <w:sz w:val="16"/>
                          <w:szCs w:val="16"/>
                        </w:rPr>
                        <w:t xml:space="preserve">Actin </w:t>
                      </w:r>
                      <w:r w:rsidRPr="001949BA">
                        <w:rPr>
                          <w:rFonts w:ascii="TimesNewRomanPSMT" w:hAnsi="TimesNewRomanPSMT" w:cs="TimesNewRomanPSMT"/>
                          <w:strike/>
                          <w:color w:val="1A171A"/>
                          <w:sz w:val="16"/>
                          <w:szCs w:val="16"/>
                        </w:rPr>
                        <w:t>mRNA.</w:t>
                      </w:r>
                    </w:p>
                    <w:p w:rsidR="002216FB" w:rsidRPr="001949BA" w:rsidRDefault="002216FB">
                      <w:pPr>
                        <w:pBdr>
                          <w:top w:val="single" w:sz="24" w:space="8" w:color="5B9BD5" w:themeColor="accent1"/>
                          <w:bottom w:val="single" w:sz="24" w:space="8" w:color="5B9BD5" w:themeColor="accent1"/>
                        </w:pBdr>
                        <w:spacing w:after="0"/>
                        <w:rPr>
                          <w:i/>
                          <w:iCs/>
                          <w:color w:val="5B9BD5" w:themeColor="accent1"/>
                          <w:sz w:val="24"/>
                        </w:rPr>
                      </w:pPr>
                      <w:r>
                        <w:rPr>
                          <w:rFonts w:ascii="TimesNewRomanPSMT" w:hAnsi="TimesNewRomanPSMT" w:cs="TimesNewRomanPSMT"/>
                          <w:strike/>
                          <w:color w:val="1A171A"/>
                          <w:sz w:val="18"/>
                          <w:szCs w:val="18"/>
                        </w:rPr>
                        <w:t xml:space="preserve"> </w:t>
                      </w:r>
                      <w:r w:rsidRPr="001949BA">
                        <w:rPr>
                          <w:rFonts w:ascii="TimesNewRomanPSMT" w:hAnsi="TimesNewRomanPSMT" w:cs="TimesNewRomanPSMT"/>
                          <w:color w:val="1A171A"/>
                          <w:sz w:val="18"/>
                          <w:szCs w:val="18"/>
                        </w:rPr>
                        <w:t>(Zheng, 2016).</w:t>
                      </w:r>
                    </w:p>
                  </w:txbxContent>
                </v:textbox>
                <w10:wrap type="square" anchorx="margin" anchory="margin"/>
              </v:shape>
            </w:pict>
          </mc:Fallback>
        </mc:AlternateContent>
      </w:r>
      <w:r w:rsidR="004B2072">
        <w:rPr>
          <w:sz w:val="24"/>
          <w:szCs w:val="24"/>
        </w:rPr>
        <w:t xml:space="preserve">The HCT116 p53 +/+, -/- , RKO p53 +/+, -/- and control cells will be obtained from the American Type Culture Collection. These cells will be transfected with the previously described biotinylated miRNA-1827/miRNA-1827 control by the use of Lipofectamine 2000, a transfection agent. Transfection will take place for approximately 24 hours where the cells will be harvested in a lysis buffer containing 20mM Tris, 100 mM KCl, and 5mM MgCl2 solutions, along with a 0.3% detergent concentration of NP-40. The lysates produced from this process will then be added to Invitrogen branded Streptavidin Dynobeads (bacterial derived biotin binding proteins) and incubated at 4 </w:t>
      </w:r>
      <w:r w:rsidR="004B2072">
        <w:rPr>
          <w:rFonts w:cstheme="minorHAnsi"/>
          <w:sz w:val="24"/>
          <w:szCs w:val="24"/>
        </w:rPr>
        <w:t xml:space="preserve">°C for about 4 hours. The procedure will cause RNAs from the solution to bind to the Streptavidin beads, at this point the RNAs produced will be extracted using the RNA extraction chemical Trizol. Conclusively, the MDM2 mRNA levels will be </w:t>
      </w:r>
      <w:r w:rsidR="009726A8">
        <w:rPr>
          <w:rFonts w:cstheme="minorHAnsi"/>
          <w:sz w:val="24"/>
          <w:szCs w:val="24"/>
        </w:rPr>
        <w:t xml:space="preserve">analyzed by Taqman real-time PCR assays </w:t>
      </w:r>
      <w:r w:rsidR="009726A8" w:rsidRPr="006745D1">
        <w:rPr>
          <w:rFonts w:cstheme="minorHAnsi"/>
          <w:color w:val="70AD47" w:themeColor="accent6"/>
          <w:sz w:val="24"/>
          <w:szCs w:val="24"/>
        </w:rPr>
        <w:t>(Zheng, 2016).</w:t>
      </w:r>
    </w:p>
    <w:p w:rsidR="00170BA1" w:rsidRDefault="00170BA1" w:rsidP="006E247A">
      <w:pPr>
        <w:spacing w:after="0" w:line="360" w:lineRule="auto"/>
        <w:rPr>
          <w:rFonts w:ascii="Baskerville Old Face" w:hAnsi="Baskerville Old Face"/>
          <w:color w:val="538135" w:themeColor="accent6" w:themeShade="BF"/>
          <w:sz w:val="36"/>
          <w:szCs w:val="36"/>
        </w:rPr>
      </w:pPr>
    </w:p>
    <w:p w:rsidR="00170BA1" w:rsidRDefault="00170BA1" w:rsidP="006E247A">
      <w:pPr>
        <w:spacing w:after="0" w:line="360" w:lineRule="auto"/>
        <w:rPr>
          <w:rFonts w:ascii="Baskerville Old Face" w:hAnsi="Baskerville Old Face"/>
          <w:color w:val="538135" w:themeColor="accent6" w:themeShade="BF"/>
          <w:sz w:val="36"/>
          <w:szCs w:val="36"/>
        </w:rPr>
      </w:pPr>
    </w:p>
    <w:p w:rsidR="006E247A" w:rsidRDefault="004A6A97" w:rsidP="006E247A">
      <w:pPr>
        <w:spacing w:after="0" w:line="360" w:lineRule="auto"/>
        <w:rPr>
          <w:rFonts w:ascii="Baskerville Old Face" w:hAnsi="Baskerville Old Face"/>
          <w:color w:val="538135" w:themeColor="accent6" w:themeShade="BF"/>
          <w:sz w:val="36"/>
          <w:szCs w:val="36"/>
        </w:rPr>
      </w:pPr>
      <w:r w:rsidRPr="004A6A97">
        <w:rPr>
          <w:rFonts w:ascii="Baskerville Old Face" w:hAnsi="Baskerville Old Face"/>
          <w:color w:val="538135" w:themeColor="accent6" w:themeShade="BF"/>
          <w:sz w:val="36"/>
          <w:szCs w:val="36"/>
        </w:rPr>
        <w:lastRenderedPageBreak/>
        <w:t>Discussion</w:t>
      </w:r>
    </w:p>
    <w:p w:rsidR="00F6062F" w:rsidRDefault="009D13A7" w:rsidP="006E247A">
      <w:pPr>
        <w:spacing w:after="0" w:line="360" w:lineRule="auto"/>
        <w:rPr>
          <w:rFonts w:cstheme="minorHAnsi"/>
          <w:color w:val="000000" w:themeColor="text1"/>
          <w:sz w:val="24"/>
          <w:szCs w:val="36"/>
        </w:rPr>
      </w:pPr>
      <w:r>
        <w:rPr>
          <w:rFonts w:cstheme="minorHAnsi"/>
          <w:color w:val="000000" w:themeColor="text1"/>
          <w:sz w:val="24"/>
          <w:szCs w:val="36"/>
        </w:rPr>
        <w:t xml:space="preserve">P53 has the ability to monitor the expression </w:t>
      </w:r>
      <w:r w:rsidR="007E1A49">
        <w:rPr>
          <w:rFonts w:cstheme="minorHAnsi"/>
          <w:color w:val="000000" w:themeColor="text1"/>
          <w:sz w:val="24"/>
          <w:szCs w:val="36"/>
        </w:rPr>
        <w:t>of various target genes</w:t>
      </w:r>
      <w:r w:rsidR="004748ED">
        <w:rPr>
          <w:rFonts w:cstheme="minorHAnsi"/>
          <w:color w:val="000000" w:themeColor="text1"/>
          <w:sz w:val="24"/>
          <w:szCs w:val="36"/>
        </w:rPr>
        <w:t xml:space="preserve"> greatly involved in activities like DNA repair, apoptosis and cell cycle arrest.</w:t>
      </w:r>
      <w:r w:rsidR="00DF7191">
        <w:rPr>
          <w:rFonts w:cstheme="minorHAnsi"/>
          <w:color w:val="000000" w:themeColor="text1"/>
          <w:sz w:val="24"/>
          <w:szCs w:val="36"/>
        </w:rPr>
        <w:t xml:space="preserve"> In addition to protein-coding genes, p53 is also involved in the </w:t>
      </w:r>
      <w:r w:rsidR="00CE2838">
        <w:rPr>
          <w:rFonts w:cstheme="minorHAnsi"/>
          <w:color w:val="000000" w:themeColor="text1"/>
          <w:sz w:val="24"/>
          <w:szCs w:val="36"/>
        </w:rPr>
        <w:t>expression of miRNAs like miR-34</w:t>
      </w:r>
      <w:r w:rsidR="00024169">
        <w:rPr>
          <w:rFonts w:cstheme="minorHAnsi"/>
          <w:color w:val="000000" w:themeColor="text1"/>
          <w:sz w:val="24"/>
          <w:szCs w:val="36"/>
        </w:rPr>
        <w:t xml:space="preserve"> to combat protein complexes like MDM2</w:t>
      </w:r>
      <w:r w:rsidR="00CE2838">
        <w:rPr>
          <w:rFonts w:cstheme="minorHAnsi"/>
          <w:color w:val="000000" w:themeColor="text1"/>
          <w:sz w:val="24"/>
          <w:szCs w:val="36"/>
        </w:rPr>
        <w:t xml:space="preserve"> </w:t>
      </w:r>
      <w:r w:rsidR="00CE2838" w:rsidRPr="00104E11">
        <w:rPr>
          <w:rFonts w:cstheme="minorHAnsi"/>
          <w:color w:val="70AD47" w:themeColor="accent6"/>
          <w:sz w:val="24"/>
          <w:szCs w:val="36"/>
        </w:rPr>
        <w:t>(Zhou, 2014).</w:t>
      </w:r>
      <w:r w:rsidR="00BE1B43">
        <w:rPr>
          <w:rFonts w:cstheme="minorHAnsi"/>
          <w:color w:val="70AD47" w:themeColor="accent6"/>
          <w:sz w:val="24"/>
          <w:szCs w:val="36"/>
        </w:rPr>
        <w:t xml:space="preserve"> </w:t>
      </w:r>
      <w:r w:rsidR="004748ED" w:rsidRPr="00104E11">
        <w:rPr>
          <w:rFonts w:cstheme="minorHAnsi"/>
          <w:color w:val="70AD47" w:themeColor="accent6"/>
          <w:sz w:val="24"/>
          <w:szCs w:val="36"/>
        </w:rPr>
        <w:t xml:space="preserve"> </w:t>
      </w:r>
      <w:r w:rsidR="002E438E">
        <w:rPr>
          <w:rFonts w:cstheme="minorHAnsi"/>
          <w:color w:val="000000" w:themeColor="text1"/>
          <w:sz w:val="24"/>
          <w:szCs w:val="36"/>
        </w:rPr>
        <w:t>In recent</w:t>
      </w:r>
      <w:r w:rsidR="00BE1B43">
        <w:rPr>
          <w:rFonts w:cstheme="minorHAnsi"/>
          <w:color w:val="000000" w:themeColor="text1"/>
          <w:sz w:val="24"/>
          <w:szCs w:val="36"/>
        </w:rPr>
        <w:t xml:space="preserve"> studies</w:t>
      </w:r>
      <w:r w:rsidR="00FE4E96">
        <w:rPr>
          <w:rFonts w:cstheme="minorHAnsi"/>
          <w:color w:val="000000" w:themeColor="text1"/>
          <w:sz w:val="24"/>
          <w:szCs w:val="36"/>
        </w:rPr>
        <w:t xml:space="preserve"> difficulties </w:t>
      </w:r>
      <w:r w:rsidR="00BE1B43">
        <w:rPr>
          <w:rFonts w:cstheme="minorHAnsi"/>
          <w:color w:val="000000" w:themeColor="text1"/>
          <w:sz w:val="24"/>
          <w:szCs w:val="36"/>
        </w:rPr>
        <w:t>involving miRNAs</w:t>
      </w:r>
      <w:r w:rsidR="00F225A6">
        <w:rPr>
          <w:rFonts w:cstheme="minorHAnsi"/>
          <w:color w:val="000000" w:themeColor="text1"/>
          <w:sz w:val="24"/>
          <w:szCs w:val="36"/>
        </w:rPr>
        <w:t xml:space="preserve"> have been observed, it was</w:t>
      </w:r>
      <w:r w:rsidR="00BE1B43">
        <w:rPr>
          <w:rFonts w:cstheme="minorHAnsi"/>
          <w:color w:val="000000" w:themeColor="text1"/>
          <w:sz w:val="24"/>
          <w:szCs w:val="36"/>
        </w:rPr>
        <w:t xml:space="preserve"> shown that</w:t>
      </w:r>
      <w:r w:rsidR="00F225A6">
        <w:rPr>
          <w:rFonts w:cstheme="minorHAnsi"/>
          <w:color w:val="000000" w:themeColor="text1"/>
          <w:sz w:val="24"/>
          <w:szCs w:val="36"/>
        </w:rPr>
        <w:t xml:space="preserve"> the expression of 19 different miRNAs in HeLa cells</w:t>
      </w:r>
      <w:r w:rsidR="00BE1B43">
        <w:rPr>
          <w:rFonts w:cstheme="minorHAnsi"/>
          <w:color w:val="000000" w:themeColor="text1"/>
          <w:sz w:val="24"/>
          <w:szCs w:val="36"/>
        </w:rPr>
        <w:t xml:space="preserve"> </w:t>
      </w:r>
      <w:r w:rsidR="00F225A6">
        <w:rPr>
          <w:rFonts w:cstheme="minorHAnsi"/>
          <w:color w:val="000000" w:themeColor="text1"/>
          <w:sz w:val="24"/>
          <w:szCs w:val="36"/>
        </w:rPr>
        <w:t>performed</w:t>
      </w:r>
      <w:r w:rsidR="002E438E">
        <w:rPr>
          <w:rFonts w:cstheme="minorHAnsi"/>
          <w:color w:val="000000" w:themeColor="text1"/>
          <w:sz w:val="24"/>
          <w:szCs w:val="36"/>
        </w:rPr>
        <w:t xml:space="preserve"> through experimentation</w:t>
      </w:r>
      <w:r w:rsidR="00F225A6">
        <w:rPr>
          <w:rFonts w:cstheme="minorHAnsi"/>
          <w:color w:val="000000" w:themeColor="text1"/>
          <w:sz w:val="24"/>
          <w:szCs w:val="36"/>
        </w:rPr>
        <w:t xml:space="preserve"> by </w:t>
      </w:r>
      <w:r w:rsidR="00F225A6" w:rsidRPr="00F225A6">
        <w:rPr>
          <w:rFonts w:cstheme="minorHAnsi"/>
          <w:color w:val="70AD47" w:themeColor="accent6"/>
          <w:sz w:val="24"/>
          <w:szCs w:val="36"/>
        </w:rPr>
        <w:t>(Ren, 2014)</w:t>
      </w:r>
      <w:r w:rsidR="00F225A6">
        <w:rPr>
          <w:rFonts w:cstheme="minorHAnsi"/>
          <w:color w:val="70AD47" w:themeColor="accent6"/>
          <w:sz w:val="24"/>
          <w:szCs w:val="36"/>
        </w:rPr>
        <w:t xml:space="preserve"> </w:t>
      </w:r>
      <w:r w:rsidR="00F225A6">
        <w:rPr>
          <w:rFonts w:cstheme="minorHAnsi"/>
          <w:color w:val="000000" w:themeColor="text1"/>
          <w:sz w:val="24"/>
          <w:szCs w:val="36"/>
        </w:rPr>
        <w:t xml:space="preserve">have </w:t>
      </w:r>
      <w:r w:rsidR="002E438E">
        <w:rPr>
          <w:rFonts w:cstheme="minorHAnsi"/>
          <w:color w:val="000000" w:themeColor="text1"/>
          <w:sz w:val="24"/>
          <w:szCs w:val="36"/>
        </w:rPr>
        <w:t>been variously</w:t>
      </w:r>
      <w:r w:rsidR="00E05804">
        <w:rPr>
          <w:rFonts w:cstheme="minorHAnsi"/>
          <w:color w:val="000000" w:themeColor="text1"/>
          <w:sz w:val="24"/>
          <w:szCs w:val="36"/>
        </w:rPr>
        <w:t xml:space="preserve"> regulated,</w:t>
      </w:r>
      <w:r w:rsidR="00F225A6">
        <w:rPr>
          <w:rFonts w:cstheme="minorHAnsi"/>
          <w:color w:val="000000" w:themeColor="text1"/>
          <w:sz w:val="24"/>
          <w:szCs w:val="36"/>
        </w:rPr>
        <w:t xml:space="preserve"> 10 </w:t>
      </w:r>
      <w:r w:rsidR="00E05804">
        <w:rPr>
          <w:rFonts w:cstheme="minorHAnsi"/>
          <w:color w:val="000000" w:themeColor="text1"/>
          <w:sz w:val="24"/>
          <w:szCs w:val="36"/>
        </w:rPr>
        <w:t xml:space="preserve">having been </w:t>
      </w:r>
      <w:r w:rsidR="00F225A6">
        <w:rPr>
          <w:rFonts w:cstheme="minorHAnsi"/>
          <w:color w:val="000000" w:themeColor="text1"/>
          <w:sz w:val="24"/>
          <w:szCs w:val="36"/>
        </w:rPr>
        <w:t xml:space="preserve">successfully up regulated and 9 down regulated. </w:t>
      </w:r>
      <w:r w:rsidR="006E6389">
        <w:rPr>
          <w:rFonts w:cstheme="minorHAnsi"/>
          <w:color w:val="000000" w:themeColor="text1"/>
          <w:sz w:val="24"/>
          <w:szCs w:val="36"/>
        </w:rPr>
        <w:t>Further results based on this outcome presented in (Ren, 2014) have surmised that certain miRNAs may possibly be involved in cancer cell development.</w:t>
      </w:r>
      <w:r w:rsidR="00984732">
        <w:rPr>
          <w:rFonts w:cstheme="minorHAnsi"/>
          <w:color w:val="000000" w:themeColor="text1"/>
          <w:sz w:val="24"/>
          <w:szCs w:val="36"/>
        </w:rPr>
        <w:t xml:space="preserve"> </w:t>
      </w:r>
    </w:p>
    <w:p w:rsidR="008C1DA1" w:rsidRDefault="008C1DA1" w:rsidP="006E247A">
      <w:pPr>
        <w:spacing w:after="0" w:line="360" w:lineRule="auto"/>
        <w:rPr>
          <w:rFonts w:cstheme="minorHAnsi"/>
          <w:color w:val="000000" w:themeColor="text1"/>
          <w:sz w:val="24"/>
          <w:szCs w:val="36"/>
        </w:rPr>
      </w:pPr>
    </w:p>
    <w:p w:rsidR="008C1DA1" w:rsidRPr="008C1DA1" w:rsidRDefault="0063192D" w:rsidP="006E247A">
      <w:pPr>
        <w:spacing w:after="0" w:line="360" w:lineRule="auto"/>
        <w:rPr>
          <w:rFonts w:ascii="Baskerville Old Face" w:hAnsi="Baskerville Old Face"/>
          <w:color w:val="000000" w:themeColor="text1"/>
          <w:sz w:val="36"/>
          <w:szCs w:val="36"/>
        </w:rPr>
      </w:pPr>
      <w:r>
        <w:rPr>
          <w:rFonts w:cstheme="minorHAnsi"/>
          <w:color w:val="000000" w:themeColor="text1"/>
          <w:sz w:val="24"/>
          <w:szCs w:val="36"/>
        </w:rPr>
        <w:t>The explanation that miRNAs may be involved in cancer development</w:t>
      </w:r>
      <w:r w:rsidR="00B63229">
        <w:rPr>
          <w:rFonts w:cstheme="minorHAnsi"/>
          <w:color w:val="000000" w:themeColor="text1"/>
          <w:sz w:val="24"/>
          <w:szCs w:val="36"/>
        </w:rPr>
        <w:t xml:space="preserve"> creates a</w:t>
      </w:r>
      <w:r>
        <w:rPr>
          <w:rFonts w:cstheme="minorHAnsi"/>
          <w:color w:val="000000" w:themeColor="text1"/>
          <w:sz w:val="24"/>
          <w:szCs w:val="36"/>
        </w:rPr>
        <w:t xml:space="preserve"> massive </w:t>
      </w:r>
      <w:r w:rsidR="00B63229">
        <w:rPr>
          <w:rFonts w:cstheme="minorHAnsi"/>
          <w:color w:val="000000" w:themeColor="text1"/>
          <w:sz w:val="24"/>
          <w:szCs w:val="36"/>
        </w:rPr>
        <w:t>impression on which types of miRNAs are best for down regulating MDM2 in wild and mutant type p53.</w:t>
      </w:r>
      <w:r>
        <w:rPr>
          <w:rFonts w:cstheme="minorHAnsi"/>
          <w:color w:val="000000" w:themeColor="text1"/>
          <w:sz w:val="24"/>
          <w:szCs w:val="36"/>
        </w:rPr>
        <w:t xml:space="preserve"> </w:t>
      </w:r>
      <w:r w:rsidR="008C1DA1">
        <w:rPr>
          <w:rFonts w:cstheme="minorHAnsi"/>
          <w:color w:val="000000" w:themeColor="text1"/>
          <w:sz w:val="24"/>
          <w:szCs w:val="36"/>
        </w:rPr>
        <w:t xml:space="preserve">In the experimental procedure from </w:t>
      </w:r>
      <w:r w:rsidR="008C1DA1" w:rsidRPr="008C1DA1">
        <w:rPr>
          <w:rFonts w:cstheme="minorHAnsi"/>
          <w:color w:val="70AD47" w:themeColor="accent6"/>
          <w:sz w:val="24"/>
          <w:szCs w:val="36"/>
        </w:rPr>
        <w:t xml:space="preserve">(Zheng, 2016) </w:t>
      </w:r>
      <w:r w:rsidR="00755641">
        <w:rPr>
          <w:rFonts w:cstheme="minorHAnsi"/>
          <w:color w:val="000000" w:themeColor="text1"/>
          <w:sz w:val="24"/>
          <w:szCs w:val="36"/>
        </w:rPr>
        <w:t>certain limitations involving other miRNAs may be encountered</w:t>
      </w:r>
      <w:r w:rsidR="006A3BD4">
        <w:rPr>
          <w:rFonts w:cstheme="minorHAnsi"/>
          <w:color w:val="000000" w:themeColor="text1"/>
          <w:sz w:val="24"/>
          <w:szCs w:val="36"/>
        </w:rPr>
        <w:t xml:space="preserve"> and hindrances effecting MDM2 expression</w:t>
      </w:r>
      <w:bookmarkStart w:id="0" w:name="_GoBack"/>
      <w:bookmarkEnd w:id="0"/>
      <w:r w:rsidR="006A3BD4">
        <w:rPr>
          <w:rFonts w:cstheme="minorHAnsi"/>
          <w:color w:val="000000" w:themeColor="text1"/>
          <w:sz w:val="24"/>
          <w:szCs w:val="36"/>
        </w:rPr>
        <w:t xml:space="preserve"> might occur</w:t>
      </w:r>
      <w:r w:rsidR="00755641">
        <w:rPr>
          <w:rFonts w:cstheme="minorHAnsi"/>
          <w:color w:val="000000" w:themeColor="text1"/>
          <w:sz w:val="24"/>
          <w:szCs w:val="36"/>
        </w:rPr>
        <w:t xml:space="preserve"> in future endeavors.</w:t>
      </w:r>
    </w:p>
    <w:p w:rsidR="00466AA6" w:rsidRPr="00024169" w:rsidRDefault="00B47236" w:rsidP="00466AA6">
      <w:pPr>
        <w:spacing w:after="0" w:line="360" w:lineRule="auto"/>
        <w:ind w:left="720" w:hanging="720"/>
        <w:rPr>
          <w:rFonts w:ascii="Times New Roman" w:hAnsi="Times New Roman" w:cs="Times New Roman"/>
          <w:bCs/>
          <w:color w:val="000000" w:themeColor="text1"/>
          <w:sz w:val="24"/>
          <w:szCs w:val="24"/>
        </w:rPr>
      </w:pPr>
      <w:r w:rsidRPr="0006169B">
        <w:rPr>
          <w:rFonts w:ascii="Baskerville Old Face" w:hAnsi="Baskerville Old Face"/>
          <w:color w:val="538135" w:themeColor="accent6" w:themeShade="BF"/>
          <w:sz w:val="36"/>
          <w:szCs w:val="24"/>
        </w:rPr>
        <w:t>References</w:t>
      </w:r>
      <w:r w:rsidR="00466AA6" w:rsidRPr="00024169">
        <w:rPr>
          <w:rFonts w:ascii="Times New Roman" w:hAnsi="Times New Roman" w:cs="Times New Roman"/>
          <w:bCs/>
          <w:color w:val="000000" w:themeColor="text1"/>
          <w:sz w:val="24"/>
          <w:szCs w:val="24"/>
        </w:rPr>
        <w:t xml:space="preserve"> </w:t>
      </w:r>
    </w:p>
    <w:p w:rsidR="00466AA6" w:rsidRDefault="00466AA6" w:rsidP="00466AA6">
      <w:pPr>
        <w:spacing w:after="0" w:line="360" w:lineRule="auto"/>
        <w:ind w:left="720" w:hanging="720"/>
        <w:rPr>
          <w:sz w:val="24"/>
        </w:rPr>
      </w:pPr>
      <w:r w:rsidRPr="00024169">
        <w:rPr>
          <w:rFonts w:ascii="Times New Roman" w:hAnsi="Times New Roman" w:cs="Times New Roman"/>
          <w:bCs/>
          <w:color w:val="000000" w:themeColor="text1"/>
          <w:sz w:val="24"/>
          <w:szCs w:val="24"/>
        </w:rPr>
        <w:t xml:space="preserve">Bartel, Frank, Helge Taubert, and Linda C. Harris. </w:t>
      </w:r>
      <w:r w:rsidRPr="00EE19E2">
        <w:rPr>
          <w:rFonts w:ascii="Times New Roman" w:hAnsi="Times New Roman" w:cs="Times New Roman"/>
          <w:bCs/>
          <w:color w:val="000000" w:themeColor="text1"/>
          <w:sz w:val="24"/>
          <w:szCs w:val="24"/>
        </w:rPr>
        <w:t>"Alternative and Aberrant Splicing of MDM2 MRNA in Human Cancer." </w:t>
      </w:r>
      <w:r w:rsidRPr="00EE19E2">
        <w:rPr>
          <w:rFonts w:ascii="Times New Roman" w:hAnsi="Times New Roman" w:cs="Times New Roman"/>
          <w:bCs/>
          <w:i/>
          <w:iCs/>
          <w:color w:val="000000" w:themeColor="text1"/>
          <w:sz w:val="24"/>
          <w:szCs w:val="24"/>
        </w:rPr>
        <w:t>Cancer Cell</w:t>
      </w:r>
      <w:r w:rsidRPr="00EE19E2">
        <w:rPr>
          <w:rFonts w:ascii="Times New Roman" w:hAnsi="Times New Roman" w:cs="Times New Roman"/>
          <w:bCs/>
          <w:color w:val="000000" w:themeColor="text1"/>
          <w:sz w:val="24"/>
          <w:szCs w:val="24"/>
        </w:rPr>
        <w:t> 2.1 (2002): 9-15. Web.</w:t>
      </w:r>
      <w:r w:rsidRPr="00466AA6">
        <w:rPr>
          <w:sz w:val="24"/>
        </w:rPr>
        <w:t xml:space="preserve"> </w:t>
      </w:r>
    </w:p>
    <w:p w:rsidR="00466AA6" w:rsidRDefault="00466AA6" w:rsidP="00466AA6">
      <w:pPr>
        <w:spacing w:after="0" w:line="360" w:lineRule="auto"/>
        <w:ind w:left="720" w:hanging="720"/>
        <w:rPr>
          <w:sz w:val="24"/>
        </w:rPr>
      </w:pPr>
    </w:p>
    <w:p w:rsidR="00466AA6" w:rsidRDefault="00466AA6" w:rsidP="003A701E">
      <w:pPr>
        <w:spacing w:after="0" w:line="360" w:lineRule="auto"/>
        <w:ind w:left="720" w:hanging="720"/>
        <w:rPr>
          <w:rFonts w:ascii="Times New Roman" w:hAnsi="Times New Roman" w:cs="Times New Roman"/>
          <w:color w:val="000000" w:themeColor="text1"/>
          <w:sz w:val="28"/>
          <w:szCs w:val="24"/>
        </w:rPr>
      </w:pPr>
      <w:r w:rsidRPr="005E7212">
        <w:rPr>
          <w:sz w:val="24"/>
        </w:rPr>
        <w:t>Brighenti M. MicroRNA and MET in lung cancer. Ann Transl Med 2015; 3(5):68. doi: 10.3978</w:t>
      </w:r>
    </w:p>
    <w:p w:rsidR="003A701E" w:rsidRPr="003A701E" w:rsidRDefault="003A701E" w:rsidP="003A701E">
      <w:pPr>
        <w:spacing w:after="0" w:line="360" w:lineRule="auto"/>
        <w:ind w:left="720" w:hanging="720"/>
        <w:rPr>
          <w:rFonts w:ascii="Times New Roman" w:hAnsi="Times New Roman" w:cs="Times New Roman"/>
          <w:color w:val="000000" w:themeColor="text1"/>
          <w:sz w:val="28"/>
          <w:szCs w:val="24"/>
        </w:rPr>
      </w:pPr>
    </w:p>
    <w:p w:rsidR="0006169B" w:rsidRPr="00E56DFC" w:rsidRDefault="0006169B" w:rsidP="0006169B">
      <w:pPr>
        <w:spacing w:after="0" w:line="360" w:lineRule="auto"/>
        <w:ind w:left="720" w:hanging="720"/>
        <w:rPr>
          <w:rFonts w:ascii="Times New Roman" w:hAnsi="Times New Roman" w:cs="Times New Roman"/>
          <w:strike/>
          <w:sz w:val="24"/>
          <w:szCs w:val="24"/>
        </w:rPr>
      </w:pPr>
      <w:r w:rsidRPr="00E56DFC">
        <w:rPr>
          <w:rFonts w:ascii="Times New Roman" w:hAnsi="Times New Roman" w:cs="Times New Roman"/>
          <w:strike/>
          <w:sz w:val="24"/>
          <w:szCs w:val="24"/>
        </w:rPr>
        <w:t>Dar, Altaf A., Shahana Majid, David De Semir, Vladimir Bezrookove, Mehdi Nosrati, and Mohammed Kashani-Sabet. "Abstract 3065: The Role of MiR-18b in MDM2-p53 Pathway Signaling and Melanoma Progression." Cancer Research Cancer Res 73.8 Supplement (2013): 3065. Web.</w:t>
      </w:r>
    </w:p>
    <w:p w:rsidR="0006169B" w:rsidRPr="00E56DFC" w:rsidRDefault="0006169B" w:rsidP="0006169B">
      <w:pPr>
        <w:spacing w:after="0" w:line="360" w:lineRule="auto"/>
        <w:ind w:left="720" w:hanging="720"/>
        <w:rPr>
          <w:rFonts w:ascii="Times New Roman" w:hAnsi="Times New Roman" w:cs="Times New Roman"/>
          <w:strike/>
          <w:sz w:val="24"/>
          <w:szCs w:val="24"/>
        </w:rPr>
      </w:pPr>
      <w:r w:rsidRPr="00E56DFC">
        <w:rPr>
          <w:rFonts w:ascii="Times New Roman" w:hAnsi="Times New Roman" w:cs="Times New Roman"/>
          <w:strike/>
          <w:sz w:val="24"/>
          <w:szCs w:val="24"/>
        </w:rPr>
        <w:t xml:space="preserve">Fornari, F., M. Milazzo, M. Galassi, E. Callegari, A. Veronese, H. Miyaaki, S. Sabbioni, V. Mantovani, E. Marasco, P. Chieco, M. Negrini, L. Bolondi, and L. Gramantieri. "P53/mdm2 Feedback Loop Sustains MiR-221 Expression and Dictates the Response to </w:t>
      </w:r>
      <w:r w:rsidRPr="00E56DFC">
        <w:rPr>
          <w:rFonts w:ascii="Times New Roman" w:hAnsi="Times New Roman" w:cs="Times New Roman"/>
          <w:strike/>
          <w:sz w:val="24"/>
          <w:szCs w:val="24"/>
        </w:rPr>
        <w:lastRenderedPageBreak/>
        <w:t>Anticancer Treatments in Hepatocellular Carcinoma." Molecular Cancer Research 12.2 (2013): 203-16. Web.</w:t>
      </w:r>
    </w:p>
    <w:p w:rsidR="004B3F2C" w:rsidRDefault="0006169B" w:rsidP="004B3F2C">
      <w:pPr>
        <w:spacing w:after="0" w:line="480" w:lineRule="auto"/>
        <w:ind w:left="720" w:hanging="720"/>
        <w:rPr>
          <w:sz w:val="24"/>
          <w:szCs w:val="24"/>
        </w:rPr>
      </w:pPr>
      <w:r w:rsidRPr="00466AA6">
        <w:rPr>
          <w:rFonts w:ascii="Times New Roman" w:hAnsi="Times New Roman" w:cs="Times New Roman"/>
          <w:sz w:val="24"/>
          <w:szCs w:val="24"/>
          <w:lang w:val="es-ES"/>
        </w:rPr>
        <w:t xml:space="preserve">Fortunato, O., M. Boeri, M. Moro, C. Verri, M. Mensah, D. Conte, L. Caleca, L. Roz, U. Pastorino, and G. Sozzi. </w:t>
      </w:r>
      <w:r w:rsidRPr="00134C9D">
        <w:rPr>
          <w:rFonts w:ascii="Times New Roman" w:hAnsi="Times New Roman" w:cs="Times New Roman"/>
          <w:sz w:val="24"/>
          <w:szCs w:val="24"/>
        </w:rPr>
        <w:t>"Mir-660 Is Downregulated in Lung Cancer Patients and Its Replacement Inhibits Lung Tumorigenesis by Targeting MDM2-p53 Interaction." Cell Death Dis Cell Death and Disease 5.12 (2014): 1-9. Web.</w:t>
      </w:r>
      <w:r w:rsidR="004B3F2C" w:rsidRPr="004B3F2C">
        <w:rPr>
          <w:sz w:val="24"/>
          <w:szCs w:val="24"/>
        </w:rPr>
        <w:t xml:space="preserve"> </w:t>
      </w:r>
    </w:p>
    <w:p w:rsidR="004B3F2C" w:rsidRDefault="004B3F2C" w:rsidP="004B3F2C">
      <w:pPr>
        <w:spacing w:after="0" w:line="480" w:lineRule="auto"/>
        <w:ind w:left="720" w:hanging="720"/>
        <w:rPr>
          <w:rStyle w:val="Hyperlink"/>
          <w:sz w:val="24"/>
          <w:szCs w:val="24"/>
        </w:rPr>
      </w:pPr>
      <w:r>
        <w:rPr>
          <w:sz w:val="24"/>
          <w:szCs w:val="24"/>
        </w:rPr>
        <w:t xml:space="preserve">Frum, R., Grossman, S., 2014. Mechanisms of mutant p53 stabilization in cancer. Subcell Biochem. (85): 187-97. </w:t>
      </w:r>
      <w:hyperlink r:id="rId6" w:history="1">
        <w:r w:rsidRPr="00710035">
          <w:rPr>
            <w:rStyle w:val="Hyperlink"/>
            <w:sz w:val="24"/>
            <w:szCs w:val="24"/>
          </w:rPr>
          <w:t>http://www.ncbi.nlm.nih.gov/pubmed/25201195</w:t>
        </w:r>
      </w:hyperlink>
    </w:p>
    <w:p w:rsidR="00466AA6" w:rsidRPr="003A701E" w:rsidRDefault="00466AA6" w:rsidP="003A701E">
      <w:pPr>
        <w:spacing w:after="0" w:line="240" w:lineRule="auto"/>
        <w:ind w:left="720" w:hanging="720"/>
        <w:rPr>
          <w:rFonts w:ascii="Times New Roman" w:eastAsia="Times New Roman" w:hAnsi="Times New Roman" w:cs="Times New Roman"/>
          <w:bCs/>
          <w:color w:val="333333"/>
          <w:sz w:val="24"/>
          <w:szCs w:val="24"/>
        </w:rPr>
      </w:pPr>
      <w:r w:rsidRPr="00E5528A">
        <w:rPr>
          <w:rFonts w:ascii="Times New Roman" w:eastAsia="Times New Roman" w:hAnsi="Times New Roman" w:cs="Times New Roman"/>
          <w:bCs/>
          <w:color w:val="333333"/>
          <w:sz w:val="24"/>
          <w:szCs w:val="24"/>
        </w:rPr>
        <w:t>Freed-Pastor, W. A., and C. Prives. "Mutant P53: One Name, Many Proteins."</w:t>
      </w:r>
      <w:r w:rsidRPr="00E5528A">
        <w:rPr>
          <w:rFonts w:ascii="Times New Roman" w:eastAsia="Times New Roman" w:hAnsi="Times New Roman" w:cs="Times New Roman"/>
          <w:bCs/>
          <w:i/>
          <w:iCs/>
          <w:color w:val="333333"/>
          <w:sz w:val="24"/>
          <w:szCs w:val="24"/>
        </w:rPr>
        <w:t>Genes &amp; Development</w:t>
      </w:r>
      <w:r w:rsidRPr="00E5528A">
        <w:rPr>
          <w:rFonts w:ascii="Times New Roman" w:eastAsia="Times New Roman" w:hAnsi="Times New Roman" w:cs="Times New Roman"/>
          <w:bCs/>
          <w:color w:val="333333"/>
          <w:sz w:val="24"/>
          <w:szCs w:val="24"/>
        </w:rPr>
        <w:t> 26.12 (2012): 1268-286. Web.</w:t>
      </w:r>
    </w:p>
    <w:p w:rsidR="0006169B" w:rsidRPr="004B3F2C" w:rsidRDefault="004B3F2C" w:rsidP="004B3F2C">
      <w:pPr>
        <w:spacing w:after="0" w:line="480" w:lineRule="auto"/>
        <w:ind w:left="720" w:hanging="720"/>
        <w:rPr>
          <w:sz w:val="24"/>
          <w:szCs w:val="24"/>
        </w:rPr>
      </w:pPr>
      <w:r w:rsidRPr="004B3F2C">
        <w:rPr>
          <w:sz w:val="24"/>
          <w:szCs w:val="24"/>
        </w:rPr>
        <w:t xml:space="preserve"> </w:t>
      </w:r>
      <w:r>
        <w:rPr>
          <w:sz w:val="24"/>
          <w:szCs w:val="24"/>
        </w:rPr>
        <w:t xml:space="preserve">Grossman, S., Vaughan, C., et al. 2012. </w:t>
      </w:r>
      <w:r w:rsidRPr="0082693F">
        <w:rPr>
          <w:sz w:val="24"/>
          <w:szCs w:val="24"/>
        </w:rPr>
        <w:t>Gain-of-Function Activity of Mutant p53 in Lung Cancer through Up-Regulation of Receptor Protein Tyrosine Kinase Axl</w:t>
      </w:r>
      <w:r>
        <w:rPr>
          <w:sz w:val="24"/>
          <w:szCs w:val="24"/>
        </w:rPr>
        <w:t>. Genes Cancer</w:t>
      </w:r>
      <w:r w:rsidRPr="0082693F">
        <w:rPr>
          <w:sz w:val="24"/>
          <w:szCs w:val="24"/>
        </w:rPr>
        <w:t xml:space="preserve"> 3(7-8): 491–502</w:t>
      </w:r>
      <w:r>
        <w:rPr>
          <w:sz w:val="24"/>
          <w:szCs w:val="24"/>
        </w:rPr>
        <w:t xml:space="preserve">.  </w:t>
      </w:r>
      <w:hyperlink r:id="rId7" w:history="1">
        <w:r w:rsidRPr="00710035">
          <w:rPr>
            <w:rStyle w:val="Hyperlink"/>
            <w:sz w:val="24"/>
            <w:szCs w:val="24"/>
          </w:rPr>
          <w:t>http://gan.sagepub.com/content/3/7-8/491.short</w:t>
        </w:r>
      </w:hyperlink>
    </w:p>
    <w:p w:rsidR="0006169B" w:rsidRPr="003A701E" w:rsidRDefault="0006169B" w:rsidP="0006169B">
      <w:pPr>
        <w:spacing w:after="0" w:line="360" w:lineRule="auto"/>
        <w:ind w:left="720" w:hanging="720"/>
        <w:rPr>
          <w:rFonts w:ascii="Times New Roman" w:hAnsi="Times New Roman" w:cs="Times New Roman"/>
          <w:strike/>
          <w:sz w:val="24"/>
          <w:szCs w:val="24"/>
        </w:rPr>
      </w:pPr>
      <w:r w:rsidRPr="003A701E">
        <w:rPr>
          <w:rFonts w:ascii="Times New Roman" w:hAnsi="Times New Roman" w:cs="Times New Roman"/>
          <w:strike/>
          <w:sz w:val="24"/>
          <w:szCs w:val="24"/>
        </w:rPr>
        <w:t>Huang, Kai, Yuxin Tang, Leye He, and Yingbo Dai. "MicroRNA-340 Inhibits Prostate Cancer Cell Proliferation and Metastasis by Targeting the MDM2-p53 Pathway." Oncology Reports Oncol Rep 35.2 (2015): 887-95. Web.</w:t>
      </w:r>
    </w:p>
    <w:p w:rsidR="0006169B" w:rsidRDefault="0006169B" w:rsidP="0006169B">
      <w:pPr>
        <w:spacing w:after="0" w:line="360" w:lineRule="auto"/>
        <w:ind w:left="720" w:hanging="720"/>
        <w:rPr>
          <w:rFonts w:ascii="Times New Roman" w:hAnsi="Times New Roman" w:cs="Times New Roman"/>
          <w:sz w:val="24"/>
          <w:szCs w:val="24"/>
        </w:rPr>
      </w:pPr>
      <w:r w:rsidRPr="00E63AE6">
        <w:rPr>
          <w:rFonts w:ascii="Times New Roman" w:hAnsi="Times New Roman" w:cs="Times New Roman"/>
          <w:sz w:val="24"/>
          <w:szCs w:val="24"/>
        </w:rPr>
        <w:t>Jansson, M. D., N. D. Damas, M. Lees, A. Jacobsen, and A. H. Lund. "MiR-339-5p Regulates the P53 Tumor-suppressor Pathway by Targeting MDM2." Oncogene 34.15 (2014): 1908-918. Web.</w:t>
      </w:r>
    </w:p>
    <w:p w:rsidR="0006169B" w:rsidRDefault="0006169B" w:rsidP="0006169B">
      <w:pPr>
        <w:spacing w:after="0" w:line="360" w:lineRule="auto"/>
        <w:ind w:left="720" w:hanging="720"/>
        <w:rPr>
          <w:rFonts w:ascii="Times New Roman" w:hAnsi="Times New Roman" w:cs="Times New Roman"/>
          <w:sz w:val="24"/>
          <w:szCs w:val="24"/>
        </w:rPr>
      </w:pPr>
      <w:r w:rsidRPr="0087001F">
        <w:rPr>
          <w:rFonts w:ascii="Times New Roman" w:hAnsi="Times New Roman" w:cs="Times New Roman"/>
          <w:sz w:val="24"/>
          <w:szCs w:val="24"/>
        </w:rPr>
        <w:t xml:space="preserve">Li, Liang, and Binquan Wang. </w:t>
      </w:r>
      <w:r w:rsidRPr="008A3456">
        <w:rPr>
          <w:rFonts w:ascii="Times New Roman" w:hAnsi="Times New Roman" w:cs="Times New Roman"/>
          <w:sz w:val="24"/>
          <w:szCs w:val="24"/>
        </w:rPr>
        <w:t>"Overexpression of MicroRNA-30b Improves Adenovirus-Mediated P53 Cancer Gene Therapy for Laryngeal Carcinoma." IJMS International Journal of Molecular Sciences 15.11 (2014): 19729-9740. Web.</w:t>
      </w:r>
    </w:p>
    <w:p w:rsidR="00355A26" w:rsidRDefault="0006169B" w:rsidP="00355A26">
      <w:pPr>
        <w:spacing w:after="0" w:line="240" w:lineRule="auto"/>
        <w:rPr>
          <w:rFonts w:ascii="Times New Roman" w:eastAsia="Times New Roman" w:hAnsi="Times New Roman" w:cs="Times New Roman"/>
          <w:bCs/>
          <w:color w:val="333333"/>
          <w:sz w:val="24"/>
          <w:szCs w:val="24"/>
        </w:rPr>
      </w:pPr>
      <w:r w:rsidRPr="00853FB8">
        <w:rPr>
          <w:rFonts w:ascii="Times New Roman" w:hAnsi="Times New Roman" w:cs="Times New Roman"/>
          <w:strike/>
          <w:sz w:val="24"/>
          <w:szCs w:val="24"/>
        </w:rPr>
        <w:t>Mei, Qian, Xiang Li, Mingzhou Guo, Xiaobing Fu, and Weidong Han. "The MiRNA Network: Micro-regulator of Cell Signaling in Cancer." Expert Review of Anticancer Therapy 14.12 (2014): 1515-527. Web.</w:t>
      </w:r>
      <w:r w:rsidR="00355A26" w:rsidRPr="00355A26">
        <w:rPr>
          <w:rFonts w:ascii="Times New Roman" w:eastAsia="Times New Roman" w:hAnsi="Times New Roman" w:cs="Times New Roman"/>
          <w:bCs/>
          <w:color w:val="333333"/>
          <w:sz w:val="24"/>
          <w:szCs w:val="24"/>
        </w:rPr>
        <w:t xml:space="preserve"> </w:t>
      </w:r>
    </w:p>
    <w:p w:rsidR="00355A26" w:rsidRDefault="00355A26" w:rsidP="00355A26">
      <w:pPr>
        <w:spacing w:after="0" w:line="240" w:lineRule="auto"/>
        <w:rPr>
          <w:rFonts w:ascii="Times New Roman" w:eastAsia="Times New Roman" w:hAnsi="Times New Roman" w:cs="Times New Roman"/>
          <w:bCs/>
          <w:color w:val="333333"/>
          <w:sz w:val="24"/>
          <w:szCs w:val="24"/>
        </w:rPr>
      </w:pPr>
    </w:p>
    <w:p w:rsidR="0006169B" w:rsidRPr="003A701E" w:rsidRDefault="00355A26" w:rsidP="003A701E">
      <w:pPr>
        <w:spacing w:after="0" w:line="240" w:lineRule="auto"/>
        <w:ind w:left="720" w:hanging="720"/>
        <w:rPr>
          <w:rFonts w:ascii="Times New Roman" w:eastAsia="Times New Roman" w:hAnsi="Times New Roman" w:cs="Times New Roman"/>
          <w:bCs/>
          <w:color w:val="333333"/>
          <w:sz w:val="24"/>
          <w:szCs w:val="24"/>
        </w:rPr>
      </w:pPr>
      <w:r w:rsidRPr="00E5528A">
        <w:rPr>
          <w:rFonts w:ascii="Times New Roman" w:eastAsia="Times New Roman" w:hAnsi="Times New Roman" w:cs="Times New Roman"/>
          <w:bCs/>
          <w:color w:val="333333"/>
          <w:sz w:val="24"/>
          <w:szCs w:val="24"/>
        </w:rPr>
        <w:t>Oren, M., and V. Rotter. "Mutant P53 Gain-of-Function in Cancer." </w:t>
      </w:r>
      <w:r w:rsidRPr="00E5528A">
        <w:rPr>
          <w:rFonts w:ascii="Times New Roman" w:eastAsia="Times New Roman" w:hAnsi="Times New Roman" w:cs="Times New Roman"/>
          <w:bCs/>
          <w:i/>
          <w:iCs/>
          <w:color w:val="333333"/>
          <w:sz w:val="24"/>
          <w:szCs w:val="24"/>
        </w:rPr>
        <w:t>Cold Spring Harbor Perspectives in Biology</w:t>
      </w:r>
      <w:r w:rsidRPr="00E5528A">
        <w:rPr>
          <w:rFonts w:ascii="Times New Roman" w:eastAsia="Times New Roman" w:hAnsi="Times New Roman" w:cs="Times New Roman"/>
          <w:bCs/>
          <w:color w:val="333333"/>
          <w:sz w:val="24"/>
          <w:szCs w:val="24"/>
        </w:rPr>
        <w:t> 2.2 (2009). Web.</w:t>
      </w:r>
    </w:p>
    <w:p w:rsidR="0006169B" w:rsidRDefault="0006169B" w:rsidP="0006169B">
      <w:pPr>
        <w:spacing w:after="0" w:line="360" w:lineRule="auto"/>
        <w:ind w:left="720" w:hanging="720"/>
        <w:rPr>
          <w:rFonts w:ascii="Times New Roman" w:hAnsi="Times New Roman" w:cs="Times New Roman"/>
          <w:sz w:val="24"/>
          <w:szCs w:val="24"/>
        </w:rPr>
      </w:pPr>
      <w:r w:rsidRPr="008A3456">
        <w:rPr>
          <w:rFonts w:ascii="Times New Roman" w:hAnsi="Times New Roman" w:cs="Times New Roman"/>
          <w:sz w:val="24"/>
          <w:szCs w:val="24"/>
        </w:rPr>
        <w:lastRenderedPageBreak/>
        <w:t>Ren, Z-J, X-Y Nong, Y-R Lv, H-H Sun, P-P An, F. Wang, X. Li, M. Liu, and H. Tang. "Mir-509-5p Joins the Mdm2/p53 Feedback Loop and Regulates Cancer Cell Growth." Cell Death Dis Cell Death and Disease 5.8 (2014). Web.</w:t>
      </w:r>
    </w:p>
    <w:p w:rsidR="0006169B" w:rsidRPr="00466AA6" w:rsidRDefault="0006169B" w:rsidP="0006169B">
      <w:pPr>
        <w:spacing w:after="0" w:line="360" w:lineRule="auto"/>
        <w:ind w:left="720" w:hanging="720"/>
        <w:rPr>
          <w:rFonts w:ascii="Times New Roman" w:hAnsi="Times New Roman" w:cs="Times New Roman"/>
          <w:strike/>
          <w:sz w:val="24"/>
          <w:szCs w:val="24"/>
        </w:rPr>
      </w:pPr>
      <w:r w:rsidRPr="00466AA6">
        <w:rPr>
          <w:rFonts w:ascii="Times New Roman" w:hAnsi="Times New Roman" w:cs="Times New Roman"/>
          <w:strike/>
          <w:sz w:val="24"/>
          <w:szCs w:val="24"/>
        </w:rPr>
        <w:t>Wang, Y., J.-W. Huang, M. Castella, D. G. Huntsman, and T. Taniguchi. "P53 Is Positively Regulated by MiR-542-3p." Cancer Research 74.12 (2014): 3218-227. Web.</w:t>
      </w:r>
    </w:p>
    <w:p w:rsidR="0006169B" w:rsidRPr="00853FB8" w:rsidRDefault="0006169B" w:rsidP="009D399F">
      <w:pPr>
        <w:spacing w:after="0" w:line="360" w:lineRule="auto"/>
        <w:ind w:left="720" w:hanging="720"/>
        <w:rPr>
          <w:rFonts w:ascii="Times New Roman" w:hAnsi="Times New Roman" w:cs="Times New Roman"/>
          <w:strike/>
          <w:sz w:val="24"/>
          <w:szCs w:val="24"/>
        </w:rPr>
      </w:pPr>
      <w:r w:rsidRPr="00853FB8">
        <w:rPr>
          <w:rFonts w:ascii="Times New Roman" w:hAnsi="Times New Roman" w:cs="Times New Roman"/>
          <w:strike/>
          <w:sz w:val="24"/>
          <w:szCs w:val="24"/>
        </w:rPr>
        <w:t>Zhang, Cen, Juan Liu, Xiaolong Wang, Rui Wu, Meihua Lin, Saurabh V. Laddha, Qifeng Yang, Chang S. Chan, and Zhaohui Feng. "MicroRNA-339-5p Inhibits Colorectal Tumorigenesis through Regulation of the MDM2/p53 Signaling." Oncotarget 5.19 (2014): 9106-117. Web.</w:t>
      </w:r>
    </w:p>
    <w:p w:rsidR="0006169B" w:rsidRDefault="0006169B" w:rsidP="0006169B">
      <w:pPr>
        <w:spacing w:after="0" w:line="360" w:lineRule="auto"/>
        <w:ind w:left="720" w:hanging="720"/>
        <w:rPr>
          <w:rFonts w:ascii="Times New Roman" w:hAnsi="Times New Roman" w:cs="Times New Roman"/>
          <w:sz w:val="24"/>
          <w:szCs w:val="24"/>
        </w:rPr>
      </w:pPr>
      <w:r w:rsidRPr="00074E8E">
        <w:rPr>
          <w:rFonts w:ascii="Times New Roman" w:hAnsi="Times New Roman" w:cs="Times New Roman"/>
          <w:sz w:val="24"/>
          <w:szCs w:val="24"/>
        </w:rPr>
        <w:t xml:space="preserve">Zheng, Cen, et. al. "MicroRNA-1827 Represses MDM2 to Positively Regulate Tumor Suppressor P53 and Suppress Tumorigenesis." Oncotarget 7.8 (2016): 1-14. Web. </w:t>
      </w:r>
    </w:p>
    <w:p w:rsidR="0006169B" w:rsidRPr="00466AA6" w:rsidRDefault="0006169B" w:rsidP="00466AA6">
      <w:pPr>
        <w:spacing w:after="0" w:line="360" w:lineRule="auto"/>
        <w:ind w:left="720" w:hanging="720"/>
        <w:rPr>
          <w:rFonts w:ascii="Times New Roman" w:hAnsi="Times New Roman" w:cs="Times New Roman"/>
          <w:sz w:val="24"/>
          <w:szCs w:val="24"/>
        </w:rPr>
      </w:pPr>
      <w:r w:rsidRPr="004B68BC">
        <w:rPr>
          <w:rFonts w:ascii="Times New Roman" w:hAnsi="Times New Roman" w:cs="Times New Roman"/>
          <w:sz w:val="24"/>
          <w:szCs w:val="24"/>
        </w:rPr>
        <w:t>Zhou, Chun-Hong, Xiao-Peng Zhang, Feng Liu, and Wei Wang. "Involvement of MiR-605 and MiR-34a in the DNA Damage Response Promotes Apoptosis Induction." Biophysical Journal 106.8 (2014): 1792-800. Web.</w:t>
      </w:r>
    </w:p>
    <w:p w:rsidR="004B3F2C" w:rsidRPr="004B3F2C" w:rsidRDefault="004B3F2C" w:rsidP="00466AA6">
      <w:pPr>
        <w:spacing w:after="0" w:line="360" w:lineRule="auto"/>
        <w:ind w:left="720" w:hanging="720"/>
        <w:rPr>
          <w:rFonts w:ascii="Times New Roman" w:eastAsia="Times New Roman" w:hAnsi="Times New Roman" w:cs="Times New Roman"/>
          <w:bCs/>
          <w:color w:val="333333"/>
          <w:sz w:val="24"/>
          <w:szCs w:val="24"/>
        </w:rPr>
      </w:pPr>
      <w:r w:rsidRPr="004B3F2C">
        <w:rPr>
          <w:rFonts w:ascii="Times New Roman" w:eastAsia="Times New Roman" w:hAnsi="Times New Roman" w:cs="Times New Roman"/>
          <w:bCs/>
          <w:color w:val="333333"/>
          <w:sz w:val="24"/>
          <w:szCs w:val="24"/>
          <w:lang w:val="de-DE"/>
        </w:rPr>
        <w:t xml:space="preserve">Li, D., N. D. Marchenko, R. Schulz, V. Fischer, T. Velasco-Hernandez, F. Talos, and U. M. Moll. </w:t>
      </w:r>
      <w:r w:rsidRPr="004B3F2C">
        <w:rPr>
          <w:rFonts w:ascii="Times New Roman" w:eastAsia="Times New Roman" w:hAnsi="Times New Roman" w:cs="Times New Roman"/>
          <w:bCs/>
          <w:color w:val="333333"/>
          <w:sz w:val="24"/>
          <w:szCs w:val="24"/>
        </w:rPr>
        <w:t>"Functional Inactivation of Endogenous MDM2 and CHIP by HSP90 Causes Aberrant Stabilization of Mutant P53 in Human Cancer Cells." </w:t>
      </w:r>
      <w:r w:rsidRPr="004B3F2C">
        <w:rPr>
          <w:rFonts w:ascii="Times New Roman" w:eastAsia="Times New Roman" w:hAnsi="Times New Roman" w:cs="Times New Roman"/>
          <w:bCs/>
          <w:i/>
          <w:iCs/>
          <w:color w:val="333333"/>
          <w:sz w:val="24"/>
          <w:szCs w:val="24"/>
        </w:rPr>
        <w:t>Molecular Cancer Research</w:t>
      </w:r>
      <w:r w:rsidRPr="004B3F2C">
        <w:rPr>
          <w:rFonts w:ascii="Times New Roman" w:eastAsia="Times New Roman" w:hAnsi="Times New Roman" w:cs="Times New Roman"/>
          <w:bCs/>
          <w:color w:val="333333"/>
          <w:sz w:val="24"/>
          <w:szCs w:val="24"/>
        </w:rPr>
        <w:t> 9.5 (2011): 577-88. Web.</w:t>
      </w:r>
    </w:p>
    <w:p w:rsidR="004B3F2C" w:rsidRDefault="004B3F2C" w:rsidP="004B3F2C">
      <w:pPr>
        <w:spacing w:after="0" w:line="360" w:lineRule="auto"/>
        <w:ind w:left="720" w:hanging="720"/>
        <w:rPr>
          <w:rFonts w:ascii="Times New Roman" w:hAnsi="Times New Roman" w:cs="Times New Roman"/>
          <w:color w:val="538135" w:themeColor="accent6" w:themeShade="BF"/>
          <w:sz w:val="32"/>
          <w:szCs w:val="24"/>
        </w:rPr>
      </w:pPr>
    </w:p>
    <w:p w:rsidR="00E5528A" w:rsidRDefault="00E5528A" w:rsidP="004B3F2C">
      <w:pPr>
        <w:spacing w:after="0" w:line="360" w:lineRule="auto"/>
        <w:ind w:left="720" w:hanging="720"/>
        <w:rPr>
          <w:rFonts w:ascii="Times New Roman" w:hAnsi="Times New Roman" w:cs="Times New Roman"/>
          <w:b/>
          <w:color w:val="538135" w:themeColor="accent6" w:themeShade="BF"/>
          <w:sz w:val="24"/>
          <w:szCs w:val="24"/>
        </w:rPr>
      </w:pPr>
    </w:p>
    <w:p w:rsidR="00E5528A" w:rsidRDefault="00E5528A" w:rsidP="004B3F2C">
      <w:pPr>
        <w:spacing w:after="0" w:line="360" w:lineRule="auto"/>
        <w:ind w:left="720" w:hanging="720"/>
        <w:rPr>
          <w:rFonts w:ascii="Times New Roman" w:hAnsi="Times New Roman" w:cs="Times New Roman"/>
          <w:b/>
          <w:color w:val="538135" w:themeColor="accent6" w:themeShade="BF"/>
          <w:sz w:val="24"/>
          <w:szCs w:val="24"/>
        </w:rPr>
      </w:pPr>
    </w:p>
    <w:p w:rsidR="00EE19E2" w:rsidRPr="00EE19E2" w:rsidRDefault="00EE19E2" w:rsidP="00355A26">
      <w:pPr>
        <w:spacing w:after="0" w:line="360" w:lineRule="auto"/>
        <w:rPr>
          <w:rFonts w:ascii="Times New Roman" w:hAnsi="Times New Roman" w:cs="Times New Roman"/>
          <w:b/>
          <w:color w:val="538135" w:themeColor="accent6" w:themeShade="BF"/>
          <w:sz w:val="24"/>
          <w:szCs w:val="24"/>
          <w:lang w:val="de-DE"/>
        </w:rPr>
      </w:pPr>
    </w:p>
    <w:p w:rsidR="005E7212" w:rsidRDefault="005E7212" w:rsidP="004B3F2C">
      <w:pPr>
        <w:spacing w:after="0" w:line="360" w:lineRule="auto"/>
        <w:ind w:left="720" w:hanging="720"/>
        <w:rPr>
          <w:rFonts w:ascii="Times New Roman" w:hAnsi="Times New Roman" w:cs="Times New Roman"/>
          <w:bCs/>
          <w:color w:val="000000" w:themeColor="text1"/>
          <w:sz w:val="24"/>
          <w:szCs w:val="24"/>
        </w:rPr>
      </w:pPr>
    </w:p>
    <w:p w:rsidR="00466AA6" w:rsidRPr="005E7212" w:rsidRDefault="00466AA6">
      <w:pPr>
        <w:spacing w:after="0" w:line="360" w:lineRule="auto"/>
        <w:ind w:left="720" w:hanging="720"/>
        <w:rPr>
          <w:rFonts w:ascii="Times New Roman" w:hAnsi="Times New Roman" w:cs="Times New Roman"/>
          <w:color w:val="000000" w:themeColor="text1"/>
          <w:sz w:val="28"/>
          <w:szCs w:val="24"/>
        </w:rPr>
      </w:pPr>
    </w:p>
    <w:sectPr w:rsidR="00466AA6" w:rsidRPr="005E7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5C"/>
    <w:rsid w:val="000011C6"/>
    <w:rsid w:val="00024169"/>
    <w:rsid w:val="000449E1"/>
    <w:rsid w:val="0006169B"/>
    <w:rsid w:val="000672C1"/>
    <w:rsid w:val="00074934"/>
    <w:rsid w:val="00083AC0"/>
    <w:rsid w:val="000D7DF3"/>
    <w:rsid w:val="000E7F22"/>
    <w:rsid w:val="000F085A"/>
    <w:rsid w:val="00104E11"/>
    <w:rsid w:val="0010634B"/>
    <w:rsid w:val="00111D4D"/>
    <w:rsid w:val="0012342D"/>
    <w:rsid w:val="0014645C"/>
    <w:rsid w:val="0016273A"/>
    <w:rsid w:val="00170BA1"/>
    <w:rsid w:val="00171B98"/>
    <w:rsid w:val="00171D2B"/>
    <w:rsid w:val="001949BA"/>
    <w:rsid w:val="001D44C0"/>
    <w:rsid w:val="00202AFF"/>
    <w:rsid w:val="00203401"/>
    <w:rsid w:val="00211F51"/>
    <w:rsid w:val="002216FB"/>
    <w:rsid w:val="00234173"/>
    <w:rsid w:val="00241A02"/>
    <w:rsid w:val="00250E9E"/>
    <w:rsid w:val="00290583"/>
    <w:rsid w:val="002B3D6E"/>
    <w:rsid w:val="002C0838"/>
    <w:rsid w:val="002D0FB0"/>
    <w:rsid w:val="002D3FB2"/>
    <w:rsid w:val="002E438E"/>
    <w:rsid w:val="00314F07"/>
    <w:rsid w:val="00320B1A"/>
    <w:rsid w:val="003518FA"/>
    <w:rsid w:val="00355A26"/>
    <w:rsid w:val="00364F27"/>
    <w:rsid w:val="00382782"/>
    <w:rsid w:val="003A701E"/>
    <w:rsid w:val="0040402D"/>
    <w:rsid w:val="004240B0"/>
    <w:rsid w:val="00425F79"/>
    <w:rsid w:val="00460768"/>
    <w:rsid w:val="00461AAF"/>
    <w:rsid w:val="00466AA6"/>
    <w:rsid w:val="00466DE8"/>
    <w:rsid w:val="004748ED"/>
    <w:rsid w:val="0048753E"/>
    <w:rsid w:val="004A6A97"/>
    <w:rsid w:val="004B2072"/>
    <w:rsid w:val="004B3F2C"/>
    <w:rsid w:val="004B458F"/>
    <w:rsid w:val="004E6E2E"/>
    <w:rsid w:val="00595593"/>
    <w:rsid w:val="005E00F7"/>
    <w:rsid w:val="005E0C88"/>
    <w:rsid w:val="005E7212"/>
    <w:rsid w:val="005F05A1"/>
    <w:rsid w:val="0063192D"/>
    <w:rsid w:val="00631C0A"/>
    <w:rsid w:val="00666AD4"/>
    <w:rsid w:val="006745D1"/>
    <w:rsid w:val="00682FB7"/>
    <w:rsid w:val="006A3BD4"/>
    <w:rsid w:val="006B6C65"/>
    <w:rsid w:val="006E247A"/>
    <w:rsid w:val="006E6389"/>
    <w:rsid w:val="006F1742"/>
    <w:rsid w:val="00754844"/>
    <w:rsid w:val="00755641"/>
    <w:rsid w:val="00781B44"/>
    <w:rsid w:val="00781F72"/>
    <w:rsid w:val="0079602F"/>
    <w:rsid w:val="007C7E6E"/>
    <w:rsid w:val="007D4464"/>
    <w:rsid w:val="007E1A49"/>
    <w:rsid w:val="00800FA3"/>
    <w:rsid w:val="00801477"/>
    <w:rsid w:val="00822F74"/>
    <w:rsid w:val="0082656B"/>
    <w:rsid w:val="00836DEF"/>
    <w:rsid w:val="00853254"/>
    <w:rsid w:val="00853FB8"/>
    <w:rsid w:val="008C1DA1"/>
    <w:rsid w:val="008C74CF"/>
    <w:rsid w:val="008D3F50"/>
    <w:rsid w:val="008E6A5D"/>
    <w:rsid w:val="00904622"/>
    <w:rsid w:val="00930D67"/>
    <w:rsid w:val="00942AA0"/>
    <w:rsid w:val="00946440"/>
    <w:rsid w:val="00957CA7"/>
    <w:rsid w:val="00962BA3"/>
    <w:rsid w:val="00964076"/>
    <w:rsid w:val="009726A8"/>
    <w:rsid w:val="00980FC3"/>
    <w:rsid w:val="00984732"/>
    <w:rsid w:val="009B4D74"/>
    <w:rsid w:val="009D123D"/>
    <w:rsid w:val="009D13A7"/>
    <w:rsid w:val="009D399F"/>
    <w:rsid w:val="009D4456"/>
    <w:rsid w:val="009F3369"/>
    <w:rsid w:val="00A3494D"/>
    <w:rsid w:val="00A400CD"/>
    <w:rsid w:val="00A642FE"/>
    <w:rsid w:val="00A801BB"/>
    <w:rsid w:val="00AB6D87"/>
    <w:rsid w:val="00AD235C"/>
    <w:rsid w:val="00B041A8"/>
    <w:rsid w:val="00B47236"/>
    <w:rsid w:val="00B63229"/>
    <w:rsid w:val="00B81014"/>
    <w:rsid w:val="00B85360"/>
    <w:rsid w:val="00B86708"/>
    <w:rsid w:val="00B90FE2"/>
    <w:rsid w:val="00B96253"/>
    <w:rsid w:val="00BA1268"/>
    <w:rsid w:val="00BA4C38"/>
    <w:rsid w:val="00BB7F33"/>
    <w:rsid w:val="00BD6B44"/>
    <w:rsid w:val="00BE1B43"/>
    <w:rsid w:val="00BE4248"/>
    <w:rsid w:val="00C0584E"/>
    <w:rsid w:val="00C2172D"/>
    <w:rsid w:val="00C63386"/>
    <w:rsid w:val="00C7030F"/>
    <w:rsid w:val="00C73425"/>
    <w:rsid w:val="00CC267C"/>
    <w:rsid w:val="00CD09E6"/>
    <w:rsid w:val="00CE2838"/>
    <w:rsid w:val="00D1741F"/>
    <w:rsid w:val="00D26870"/>
    <w:rsid w:val="00D444E6"/>
    <w:rsid w:val="00D47571"/>
    <w:rsid w:val="00D53301"/>
    <w:rsid w:val="00D65CF8"/>
    <w:rsid w:val="00D66A9C"/>
    <w:rsid w:val="00DB0A81"/>
    <w:rsid w:val="00DD0199"/>
    <w:rsid w:val="00DE355D"/>
    <w:rsid w:val="00DF7191"/>
    <w:rsid w:val="00E02159"/>
    <w:rsid w:val="00E05804"/>
    <w:rsid w:val="00E17AE5"/>
    <w:rsid w:val="00E208CB"/>
    <w:rsid w:val="00E209CD"/>
    <w:rsid w:val="00E34F2B"/>
    <w:rsid w:val="00E5528A"/>
    <w:rsid w:val="00E56DFC"/>
    <w:rsid w:val="00E91349"/>
    <w:rsid w:val="00EA5BB9"/>
    <w:rsid w:val="00EB2F4C"/>
    <w:rsid w:val="00EC0BAF"/>
    <w:rsid w:val="00ED5387"/>
    <w:rsid w:val="00EE19E2"/>
    <w:rsid w:val="00EF264E"/>
    <w:rsid w:val="00F225A6"/>
    <w:rsid w:val="00F504EB"/>
    <w:rsid w:val="00F6062F"/>
    <w:rsid w:val="00F91879"/>
    <w:rsid w:val="00FA7F47"/>
    <w:rsid w:val="00FB0A04"/>
    <w:rsid w:val="00FB3432"/>
    <w:rsid w:val="00FE4E96"/>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5138A-477A-4D0D-9BC1-61EA22A5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F2C"/>
    <w:rPr>
      <w:color w:val="0563C1" w:themeColor="hyperlink"/>
      <w:u w:val="single"/>
    </w:rPr>
  </w:style>
  <w:style w:type="character" w:customStyle="1" w:styleId="apple-converted-space">
    <w:name w:val="apple-converted-space"/>
    <w:basedOn w:val="DefaultParagraphFont"/>
    <w:rsid w:val="00E5528A"/>
  </w:style>
  <w:style w:type="character" w:styleId="FollowedHyperlink">
    <w:name w:val="FollowedHyperlink"/>
    <w:basedOn w:val="DefaultParagraphFont"/>
    <w:uiPriority w:val="99"/>
    <w:semiHidden/>
    <w:unhideWhenUsed/>
    <w:rsid w:val="002341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7252">
      <w:bodyDiv w:val="1"/>
      <w:marLeft w:val="0"/>
      <w:marRight w:val="0"/>
      <w:marTop w:val="0"/>
      <w:marBottom w:val="0"/>
      <w:divBdr>
        <w:top w:val="none" w:sz="0" w:space="0" w:color="auto"/>
        <w:left w:val="none" w:sz="0" w:space="0" w:color="auto"/>
        <w:bottom w:val="none" w:sz="0" w:space="0" w:color="auto"/>
        <w:right w:val="none" w:sz="0" w:space="0" w:color="auto"/>
      </w:divBdr>
      <w:divsChild>
        <w:div w:id="154035992">
          <w:marLeft w:val="-225"/>
          <w:marRight w:val="-225"/>
          <w:marTop w:val="0"/>
          <w:marBottom w:val="0"/>
          <w:divBdr>
            <w:top w:val="none" w:sz="0" w:space="0" w:color="auto"/>
            <w:left w:val="none" w:sz="0" w:space="0" w:color="auto"/>
            <w:bottom w:val="none" w:sz="0" w:space="0" w:color="auto"/>
            <w:right w:val="none" w:sz="0" w:space="0" w:color="auto"/>
          </w:divBdr>
          <w:divsChild>
            <w:div w:id="11935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91587">
      <w:bodyDiv w:val="1"/>
      <w:marLeft w:val="0"/>
      <w:marRight w:val="0"/>
      <w:marTop w:val="0"/>
      <w:marBottom w:val="0"/>
      <w:divBdr>
        <w:top w:val="none" w:sz="0" w:space="0" w:color="auto"/>
        <w:left w:val="none" w:sz="0" w:space="0" w:color="auto"/>
        <w:bottom w:val="none" w:sz="0" w:space="0" w:color="auto"/>
        <w:right w:val="none" w:sz="0" w:space="0" w:color="auto"/>
      </w:divBdr>
      <w:divsChild>
        <w:div w:id="1985502726">
          <w:marLeft w:val="-225"/>
          <w:marRight w:val="-225"/>
          <w:marTop w:val="0"/>
          <w:marBottom w:val="0"/>
          <w:divBdr>
            <w:top w:val="none" w:sz="0" w:space="0" w:color="auto"/>
            <w:left w:val="none" w:sz="0" w:space="0" w:color="auto"/>
            <w:bottom w:val="none" w:sz="0" w:space="0" w:color="auto"/>
            <w:right w:val="none" w:sz="0" w:space="0" w:color="auto"/>
          </w:divBdr>
          <w:divsChild>
            <w:div w:id="12306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7071">
      <w:bodyDiv w:val="1"/>
      <w:marLeft w:val="0"/>
      <w:marRight w:val="0"/>
      <w:marTop w:val="0"/>
      <w:marBottom w:val="0"/>
      <w:divBdr>
        <w:top w:val="none" w:sz="0" w:space="0" w:color="auto"/>
        <w:left w:val="none" w:sz="0" w:space="0" w:color="auto"/>
        <w:bottom w:val="none" w:sz="0" w:space="0" w:color="auto"/>
        <w:right w:val="none" w:sz="0" w:space="0" w:color="auto"/>
      </w:divBdr>
      <w:divsChild>
        <w:div w:id="647052464">
          <w:marLeft w:val="-225"/>
          <w:marRight w:val="-225"/>
          <w:marTop w:val="0"/>
          <w:marBottom w:val="0"/>
          <w:divBdr>
            <w:top w:val="none" w:sz="0" w:space="0" w:color="auto"/>
            <w:left w:val="none" w:sz="0" w:space="0" w:color="auto"/>
            <w:bottom w:val="none" w:sz="0" w:space="0" w:color="auto"/>
            <w:right w:val="none" w:sz="0" w:space="0" w:color="auto"/>
          </w:divBdr>
          <w:divsChild>
            <w:div w:id="8645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8524">
      <w:bodyDiv w:val="1"/>
      <w:marLeft w:val="0"/>
      <w:marRight w:val="0"/>
      <w:marTop w:val="0"/>
      <w:marBottom w:val="0"/>
      <w:divBdr>
        <w:top w:val="none" w:sz="0" w:space="0" w:color="auto"/>
        <w:left w:val="none" w:sz="0" w:space="0" w:color="auto"/>
        <w:bottom w:val="none" w:sz="0" w:space="0" w:color="auto"/>
        <w:right w:val="none" w:sz="0" w:space="0" w:color="auto"/>
      </w:divBdr>
      <w:divsChild>
        <w:div w:id="1412117830">
          <w:marLeft w:val="-225"/>
          <w:marRight w:val="-225"/>
          <w:marTop w:val="0"/>
          <w:marBottom w:val="0"/>
          <w:divBdr>
            <w:top w:val="none" w:sz="0" w:space="0" w:color="auto"/>
            <w:left w:val="none" w:sz="0" w:space="0" w:color="auto"/>
            <w:bottom w:val="none" w:sz="0" w:space="0" w:color="auto"/>
            <w:right w:val="none" w:sz="0" w:space="0" w:color="auto"/>
          </w:divBdr>
          <w:divsChild>
            <w:div w:id="5311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an.sagepub.com/content/3/7-8/491.sh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25201195"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4436</TotalTime>
  <Pages>6</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Kirby</dc:creator>
  <cp:keywords/>
  <dc:description/>
  <cp:lastModifiedBy>Bryce Kirby</cp:lastModifiedBy>
  <cp:revision>156</cp:revision>
  <dcterms:created xsi:type="dcterms:W3CDTF">2016-04-27T03:59:00Z</dcterms:created>
  <dcterms:modified xsi:type="dcterms:W3CDTF">2016-05-01T07:50:00Z</dcterms:modified>
</cp:coreProperties>
</file>