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B4" w:rsidRPr="00034D71" w:rsidRDefault="000211CC" w:rsidP="00ED4A5E">
      <w:pPr>
        <w:jc w:val="center"/>
        <w:rPr>
          <w:rFonts w:ascii="Times New Roman" w:hAnsi="Times New Roman" w:cs="Times New Roman"/>
          <w:b/>
          <w:sz w:val="24"/>
        </w:rPr>
      </w:pPr>
      <w:r w:rsidRPr="00034D71">
        <w:rPr>
          <w:rFonts w:ascii="Times New Roman" w:hAnsi="Times New Roman" w:cs="Times New Roman"/>
          <w:b/>
          <w:sz w:val="24"/>
        </w:rPr>
        <w:t xml:space="preserve">Investigating the effects of human aldehyde dehydrogenase on </w:t>
      </w:r>
      <w:r w:rsidR="00034D71" w:rsidRPr="00034D71">
        <w:rPr>
          <w:rFonts w:ascii="Times New Roman" w:hAnsi="Times New Roman" w:cs="Times New Roman"/>
          <w:b/>
          <w:sz w:val="24"/>
        </w:rPr>
        <w:t>vaccinia virus replication in breast cancer stem cells</w:t>
      </w:r>
    </w:p>
    <w:p w:rsidR="00743F91" w:rsidRPr="00743F91" w:rsidRDefault="00743F91" w:rsidP="00743F91">
      <w:pPr>
        <w:rPr>
          <w:rFonts w:ascii="Times New Roman" w:hAnsi="Times New Roman" w:cs="Times New Roman"/>
          <w:b/>
          <w:sz w:val="24"/>
        </w:rPr>
      </w:pPr>
      <w:r w:rsidRPr="00743F91">
        <w:rPr>
          <w:rFonts w:ascii="Times New Roman" w:hAnsi="Times New Roman" w:cs="Times New Roman"/>
          <w:b/>
          <w:sz w:val="24"/>
        </w:rPr>
        <w:t>I.</w:t>
      </w:r>
      <w:r>
        <w:rPr>
          <w:rFonts w:ascii="Times New Roman" w:hAnsi="Times New Roman" w:cs="Times New Roman"/>
          <w:b/>
          <w:sz w:val="24"/>
        </w:rPr>
        <w:t xml:space="preserve">  Introduction</w:t>
      </w:r>
    </w:p>
    <w:p w:rsidR="004D69EA" w:rsidRDefault="00906712" w:rsidP="004D69EA">
      <w:pPr>
        <w:ind w:firstLine="720"/>
        <w:rPr>
          <w:rFonts w:ascii="Times New Roman" w:hAnsi="Times New Roman" w:cs="Times New Roman"/>
          <w:sz w:val="24"/>
        </w:rPr>
      </w:pPr>
      <w:r>
        <w:rPr>
          <w:rFonts w:ascii="Times New Roman" w:hAnsi="Times New Roman" w:cs="Times New Roman"/>
          <w:sz w:val="24"/>
        </w:rPr>
        <w:t>According to the CDC, cancer is the second leading cause of the death in the United States</w:t>
      </w:r>
      <w:r w:rsidR="00654525">
        <w:rPr>
          <w:rFonts w:ascii="Times New Roman" w:hAnsi="Times New Roman" w:cs="Times New Roman"/>
          <w:sz w:val="24"/>
        </w:rPr>
        <w:t xml:space="preserve">. It is responsible for </w:t>
      </w:r>
      <w:r w:rsidR="00640E6B">
        <w:rPr>
          <w:rFonts w:ascii="Times New Roman" w:hAnsi="Times New Roman" w:cs="Times New Roman"/>
          <w:sz w:val="24"/>
        </w:rPr>
        <w:t>almost one in four deaths and is the second leading cause of death af</w:t>
      </w:r>
      <w:r w:rsidR="00F42E04">
        <w:rPr>
          <w:rFonts w:ascii="Times New Roman" w:hAnsi="Times New Roman" w:cs="Times New Roman"/>
          <w:sz w:val="24"/>
        </w:rPr>
        <w:t>ter heart disease (Si</w:t>
      </w:r>
      <w:r w:rsidR="004E64AA">
        <w:rPr>
          <w:rFonts w:ascii="Times New Roman" w:hAnsi="Times New Roman" w:cs="Times New Roman"/>
          <w:sz w:val="24"/>
        </w:rPr>
        <w:t>egel et al 2014). A total of 1.6 milion cases of cancer are expected to be diagnosed by the end of this year, with an</w:t>
      </w:r>
      <w:r w:rsidR="00B448E7">
        <w:rPr>
          <w:rFonts w:ascii="Times New Roman" w:hAnsi="Times New Roman" w:cs="Times New Roman"/>
          <w:sz w:val="24"/>
        </w:rPr>
        <w:t xml:space="preserve"> estimated 585 thousand deaths (Siegel et al 2014).</w:t>
      </w:r>
      <w:r w:rsidR="00D85878">
        <w:rPr>
          <w:rFonts w:ascii="Times New Roman" w:hAnsi="Times New Roman" w:cs="Times New Roman"/>
          <w:sz w:val="24"/>
        </w:rPr>
        <w:t xml:space="preserve"> </w:t>
      </w:r>
      <w:r w:rsidR="004D69EA">
        <w:rPr>
          <w:rFonts w:ascii="Times New Roman" w:hAnsi="Times New Roman" w:cs="Times New Roman"/>
          <w:sz w:val="24"/>
        </w:rPr>
        <w:t xml:space="preserve">Among cancers, prostate and lung cancers are the most common in men, while breast and lung cancers are the most common in women. </w:t>
      </w:r>
    </w:p>
    <w:p w:rsidR="00034D71" w:rsidRDefault="00EE66BB" w:rsidP="004D69EA">
      <w:pPr>
        <w:ind w:firstLine="720"/>
        <w:rPr>
          <w:rFonts w:ascii="Times New Roman" w:hAnsi="Times New Roman" w:cs="Times New Roman"/>
          <w:sz w:val="24"/>
        </w:rPr>
      </w:pPr>
      <w:r>
        <w:rPr>
          <w:rFonts w:ascii="Times New Roman" w:hAnsi="Times New Roman" w:cs="Times New Roman"/>
          <w:sz w:val="24"/>
        </w:rPr>
        <w:t>Cancer is a group of diseases characterized by the unregulated growth of cell</w:t>
      </w:r>
      <w:r w:rsidR="004D69EA">
        <w:rPr>
          <w:rFonts w:ascii="Times New Roman" w:hAnsi="Times New Roman" w:cs="Times New Roman"/>
          <w:sz w:val="24"/>
        </w:rPr>
        <w:t>s.</w:t>
      </w:r>
      <w:r w:rsidR="00C51902">
        <w:rPr>
          <w:rFonts w:ascii="Times New Roman" w:hAnsi="Times New Roman" w:cs="Times New Roman"/>
          <w:sz w:val="24"/>
        </w:rPr>
        <w:t xml:space="preserve"> Since the discovery of stem cells in a number of cancers, much of our attention has been diverted towards understanding t</w:t>
      </w:r>
      <w:r w:rsidR="00D57431">
        <w:rPr>
          <w:rFonts w:ascii="Times New Roman" w:hAnsi="Times New Roman" w:cs="Times New Roman"/>
          <w:sz w:val="24"/>
        </w:rPr>
        <w:t>he role of stem cells in cancer (Ignatova et al). Stem cells are cells with the capacity to repop</w:t>
      </w:r>
      <w:r w:rsidR="00CF0A56">
        <w:rPr>
          <w:rFonts w:ascii="Times New Roman" w:hAnsi="Times New Roman" w:cs="Times New Roman"/>
          <w:sz w:val="24"/>
        </w:rPr>
        <w:t>ulate a tissue and give rise to differentiated progenitor cells. Cancer stem cells are hypothesized to be a population of cells with the capacity to inde</w:t>
      </w:r>
      <w:r w:rsidR="00EA3A83">
        <w:rPr>
          <w:rFonts w:ascii="Times New Roman" w:hAnsi="Times New Roman" w:cs="Times New Roman"/>
          <w:sz w:val="24"/>
        </w:rPr>
        <w:t>finitely renew and drive tumor formation (Reya et al.)</w:t>
      </w:r>
      <w:r w:rsidR="00A34FF8">
        <w:rPr>
          <w:rFonts w:ascii="Times New Roman" w:hAnsi="Times New Roman" w:cs="Times New Roman"/>
          <w:sz w:val="24"/>
        </w:rPr>
        <w:t>. Due to their relative quiescence and high expression of drug transporters, tumor stem cells are resistant to traditional mechanisms of therapy such as</w:t>
      </w:r>
      <w:r w:rsidR="00A65C2F">
        <w:rPr>
          <w:rFonts w:ascii="Times New Roman" w:hAnsi="Times New Roman" w:cs="Times New Roman"/>
          <w:sz w:val="24"/>
        </w:rPr>
        <w:t xml:space="preserve"> chemotherapy and radiotherapy </w:t>
      </w:r>
      <w:r w:rsidR="00F52E79">
        <w:rPr>
          <w:rFonts w:ascii="Times New Roman" w:hAnsi="Times New Roman" w:cs="Times New Roman"/>
          <w:sz w:val="24"/>
        </w:rPr>
        <w:t>(Malik et al) (Deal et al</w:t>
      </w:r>
      <w:r w:rsidR="00C60804">
        <w:rPr>
          <w:rFonts w:ascii="Times New Roman" w:hAnsi="Times New Roman" w:cs="Times New Roman"/>
          <w:sz w:val="24"/>
        </w:rPr>
        <w:t xml:space="preserve">). Additionally, because they represent a small fraction of the tumor mass, surgery often fails to remove the tumor initiating stem cells. </w:t>
      </w:r>
      <w:r w:rsidR="00EF2820">
        <w:rPr>
          <w:rFonts w:ascii="Times New Roman" w:hAnsi="Times New Roman" w:cs="Times New Roman"/>
          <w:sz w:val="24"/>
        </w:rPr>
        <w:t>As thus, researchers are attempting to identify novel therapeutics to deliver selective toxicity to CSCs in order to prevent cancer recu</w:t>
      </w:r>
      <w:r w:rsidR="00AC0248">
        <w:rPr>
          <w:rFonts w:ascii="Times New Roman" w:hAnsi="Times New Roman" w:cs="Times New Roman"/>
          <w:sz w:val="24"/>
        </w:rPr>
        <w:t>rrence and increase survival for cancer patients.</w:t>
      </w:r>
    </w:p>
    <w:p w:rsidR="00AC0248" w:rsidRDefault="000C4220" w:rsidP="004D69EA">
      <w:pPr>
        <w:ind w:firstLine="720"/>
        <w:rPr>
          <w:rFonts w:ascii="Times New Roman" w:hAnsi="Times New Roman" w:cs="Times New Roman"/>
          <w:sz w:val="24"/>
        </w:rPr>
      </w:pPr>
      <w:r>
        <w:rPr>
          <w:rFonts w:ascii="Times New Roman" w:hAnsi="Times New Roman" w:cs="Times New Roman"/>
          <w:sz w:val="24"/>
        </w:rPr>
        <w:t>Oncolytic virotherapy is one way to target CSCs.</w:t>
      </w:r>
      <w:r w:rsidR="00B32DBD">
        <w:rPr>
          <w:rFonts w:ascii="Times New Roman" w:hAnsi="Times New Roman" w:cs="Times New Roman"/>
          <w:sz w:val="24"/>
        </w:rPr>
        <w:t xml:space="preserve"> This utilizes replication-competent viruses to</w:t>
      </w:r>
      <w:r w:rsidR="00DD5B44">
        <w:rPr>
          <w:rFonts w:ascii="Times New Roman" w:hAnsi="Times New Roman" w:cs="Times New Roman"/>
          <w:sz w:val="24"/>
        </w:rPr>
        <w:t xml:space="preserve"> selectively lyse cancer cells</w:t>
      </w:r>
      <w:r w:rsidR="006361E3">
        <w:rPr>
          <w:rFonts w:ascii="Times New Roman" w:hAnsi="Times New Roman" w:cs="Times New Roman"/>
          <w:sz w:val="24"/>
        </w:rPr>
        <w:t xml:space="preserve"> and to possibly stimulate </w:t>
      </w:r>
      <w:r w:rsidR="00E10FC3">
        <w:rPr>
          <w:rFonts w:ascii="Times New Roman" w:hAnsi="Times New Roman" w:cs="Times New Roman"/>
          <w:sz w:val="24"/>
        </w:rPr>
        <w:t>anti-cancer immune effects</w:t>
      </w:r>
      <w:r w:rsidR="00BC4565">
        <w:rPr>
          <w:rFonts w:ascii="Times New Roman" w:hAnsi="Times New Roman" w:cs="Times New Roman"/>
          <w:sz w:val="24"/>
        </w:rPr>
        <w:t xml:space="preserve"> (Smith et al) (Sinkovics et al)</w:t>
      </w:r>
      <w:r w:rsidR="00E10FC3">
        <w:rPr>
          <w:rFonts w:ascii="Times New Roman" w:hAnsi="Times New Roman" w:cs="Times New Roman"/>
          <w:sz w:val="24"/>
        </w:rPr>
        <w:t xml:space="preserve">. </w:t>
      </w:r>
      <w:r w:rsidR="000B24F8">
        <w:rPr>
          <w:rFonts w:ascii="Times New Roman" w:hAnsi="Times New Roman" w:cs="Times New Roman"/>
          <w:sz w:val="24"/>
        </w:rPr>
        <w:t>Viruses may be engineered for tumor selectivity, and after infiltration of the cell and replication, the cell is lysed and nearby tumor cells are infected, potentially spreading to the heart of the tumor</w:t>
      </w:r>
      <w:r w:rsidR="00E54685">
        <w:rPr>
          <w:rFonts w:ascii="Times New Roman" w:hAnsi="Times New Roman" w:cs="Times New Roman"/>
          <w:sz w:val="24"/>
        </w:rPr>
        <w:t xml:space="preserve"> and infecting the resident stem cells.</w:t>
      </w:r>
      <w:r w:rsidR="00C8790C">
        <w:rPr>
          <w:rFonts w:ascii="Times New Roman" w:hAnsi="Times New Roman" w:cs="Times New Roman"/>
          <w:sz w:val="24"/>
        </w:rPr>
        <w:t xml:space="preserve"> Additionally, the viruses may be immunogenic and stimulate the immune system to further attack the tumor by promoting antigenicity </w:t>
      </w:r>
      <w:r w:rsidR="000D4FBB">
        <w:rPr>
          <w:rFonts w:ascii="Times New Roman" w:hAnsi="Times New Roman" w:cs="Times New Roman"/>
          <w:sz w:val="24"/>
        </w:rPr>
        <w:t>and expression of surface proteins to further aid the</w:t>
      </w:r>
      <w:r w:rsidR="00BC4565">
        <w:rPr>
          <w:rFonts w:ascii="Times New Roman" w:hAnsi="Times New Roman" w:cs="Times New Roman"/>
          <w:sz w:val="24"/>
        </w:rPr>
        <w:t xml:space="preserve"> body in detecting these cells (Sinkovics et al) (Sze et al).</w:t>
      </w:r>
      <w:r w:rsidR="009A322E">
        <w:rPr>
          <w:rFonts w:ascii="Times New Roman" w:hAnsi="Times New Roman" w:cs="Times New Roman"/>
          <w:sz w:val="24"/>
        </w:rPr>
        <w:t xml:space="preserve"> Many classes of viruses have been manipulated </w:t>
      </w:r>
      <w:r w:rsidR="00562874">
        <w:rPr>
          <w:rFonts w:ascii="Times New Roman" w:hAnsi="Times New Roman" w:cs="Times New Roman"/>
          <w:sz w:val="24"/>
        </w:rPr>
        <w:t xml:space="preserve">to achieve oncolytic capacity, including </w:t>
      </w:r>
      <w:r w:rsidR="00BF549F">
        <w:rPr>
          <w:rFonts w:ascii="Times New Roman" w:hAnsi="Times New Roman" w:cs="Times New Roman"/>
          <w:sz w:val="24"/>
        </w:rPr>
        <w:t>herpes simplex virus, adenovirus, measles virus, reovirus, and vaccinia virus.</w:t>
      </w:r>
    </w:p>
    <w:p w:rsidR="00E47062" w:rsidRDefault="001707B6" w:rsidP="004D69EA">
      <w:pPr>
        <w:ind w:firstLine="720"/>
        <w:rPr>
          <w:rFonts w:ascii="Times New Roman" w:hAnsi="Times New Roman" w:cs="Times New Roman"/>
          <w:sz w:val="24"/>
        </w:rPr>
      </w:pPr>
      <w:r>
        <w:rPr>
          <w:rFonts w:ascii="Times New Roman" w:hAnsi="Times New Roman" w:cs="Times New Roman"/>
          <w:sz w:val="24"/>
        </w:rPr>
        <w:t>Vaccinia virus</w:t>
      </w:r>
      <w:r w:rsidR="000F7F8E">
        <w:rPr>
          <w:rFonts w:ascii="Times New Roman" w:hAnsi="Times New Roman" w:cs="Times New Roman"/>
          <w:sz w:val="24"/>
        </w:rPr>
        <w:t xml:space="preserve"> (VACV)</w:t>
      </w:r>
      <w:r>
        <w:rPr>
          <w:rFonts w:ascii="Times New Roman" w:hAnsi="Times New Roman" w:cs="Times New Roman"/>
          <w:sz w:val="24"/>
        </w:rPr>
        <w:t xml:space="preserve"> was instrumental in the battle against smallpox and is currently in clinical trials </w:t>
      </w:r>
      <w:r w:rsidR="000F7F8E">
        <w:rPr>
          <w:rFonts w:ascii="Times New Roman" w:hAnsi="Times New Roman" w:cs="Times New Roman"/>
          <w:sz w:val="24"/>
        </w:rPr>
        <w:t xml:space="preserve">for metastatic </w:t>
      </w:r>
      <w:r>
        <w:rPr>
          <w:rFonts w:ascii="Times New Roman" w:hAnsi="Times New Roman" w:cs="Times New Roman"/>
          <w:sz w:val="24"/>
        </w:rPr>
        <w:t>liver cancer (Park et al).</w:t>
      </w:r>
      <w:r w:rsidR="000F7F8E">
        <w:rPr>
          <w:rFonts w:ascii="Times New Roman" w:hAnsi="Times New Roman" w:cs="Times New Roman"/>
          <w:sz w:val="24"/>
        </w:rPr>
        <w:t xml:space="preserve"> </w:t>
      </w:r>
      <w:r w:rsidR="004949CD">
        <w:rPr>
          <w:rFonts w:ascii="Times New Roman" w:hAnsi="Times New Roman" w:cs="Times New Roman"/>
          <w:sz w:val="24"/>
        </w:rPr>
        <w:t xml:space="preserve">The life cycle of the VACV occurs entirely in the cytoplasm. </w:t>
      </w:r>
      <w:r w:rsidR="00A57148">
        <w:rPr>
          <w:rFonts w:ascii="Times New Roman" w:hAnsi="Times New Roman" w:cs="Times New Roman"/>
          <w:sz w:val="24"/>
        </w:rPr>
        <w:t>Four types of virions are produced in the life; the intracellular mature virus (IMV), intracellular enveloped virus (IEV), cell-assocaited enveloped virus (CEV) and extracellular enveloped virus (EEV)</w:t>
      </w:r>
      <w:r w:rsidR="00677555">
        <w:rPr>
          <w:rFonts w:ascii="Times New Roman" w:hAnsi="Times New Roman" w:cs="Times New Roman"/>
          <w:sz w:val="24"/>
        </w:rPr>
        <w:t xml:space="preserve"> (Smith et al</w:t>
      </w:r>
      <w:r w:rsidR="000E1797">
        <w:rPr>
          <w:rFonts w:ascii="Times New Roman" w:hAnsi="Times New Roman" w:cs="Times New Roman"/>
          <w:sz w:val="24"/>
        </w:rPr>
        <w:t>; formation of EEV</w:t>
      </w:r>
      <w:r w:rsidR="001C25A9">
        <w:rPr>
          <w:rFonts w:ascii="Times New Roman" w:hAnsi="Times New Roman" w:cs="Times New Roman"/>
          <w:sz w:val="24"/>
        </w:rPr>
        <w:t>)</w:t>
      </w:r>
      <w:r w:rsidR="00A57148">
        <w:rPr>
          <w:rFonts w:ascii="Times New Roman" w:hAnsi="Times New Roman" w:cs="Times New Roman"/>
          <w:sz w:val="24"/>
        </w:rPr>
        <w:t>.</w:t>
      </w:r>
      <w:r w:rsidR="00677555">
        <w:rPr>
          <w:rFonts w:ascii="Times New Roman" w:hAnsi="Times New Roman" w:cs="Times New Roman"/>
          <w:sz w:val="24"/>
        </w:rPr>
        <w:t xml:space="preserve"> After entry</w:t>
      </w:r>
      <w:r w:rsidR="001C25A9">
        <w:rPr>
          <w:rFonts w:ascii="Times New Roman" w:hAnsi="Times New Roman" w:cs="Times New Roman"/>
          <w:sz w:val="24"/>
        </w:rPr>
        <w:t xml:space="preserve"> and expression of viral genes, IMV particles are assembled and move on microtubules to sites near the microtubule-organizing center where they are subsequently covered by intracellular membrane </w:t>
      </w:r>
      <w:r w:rsidR="001C25A9">
        <w:rPr>
          <w:rFonts w:ascii="Times New Roman" w:hAnsi="Times New Roman" w:cs="Times New Roman"/>
          <w:sz w:val="24"/>
        </w:rPr>
        <w:lastRenderedPageBreak/>
        <w:t>proteins to form IEV particles. These virions fuse with the plasma membrane to expose CEV on the cell surfac</w:t>
      </w:r>
      <w:r w:rsidR="00111A49">
        <w:rPr>
          <w:rFonts w:ascii="Times New Roman" w:hAnsi="Times New Roman" w:cs="Times New Roman"/>
          <w:sz w:val="24"/>
        </w:rPr>
        <w:t>e. Polymerization of actin propels the virion into surrounding cells, and EEV is released and mediates infiltration in nearby uninfected cells. (Smith et al; Vaccinia Virus Motility)</w:t>
      </w:r>
    </w:p>
    <w:p w:rsidR="00E849B3" w:rsidRDefault="00C37090" w:rsidP="004D69EA">
      <w:pPr>
        <w:ind w:firstLine="720"/>
        <w:rPr>
          <w:rFonts w:ascii="Times New Roman" w:hAnsi="Times New Roman" w:cs="Times New Roman"/>
          <w:sz w:val="24"/>
        </w:rPr>
      </w:pPr>
      <w:r>
        <w:rPr>
          <w:rFonts w:ascii="Times New Roman" w:hAnsi="Times New Roman" w:cs="Times New Roman"/>
          <w:sz w:val="24"/>
        </w:rPr>
        <w:t xml:space="preserve">Because CSCs are phenotypically and functionally distinct from ordinary tumor cells, finding a biomarker to distinguish these undifferentiated </w:t>
      </w:r>
      <w:r w:rsidR="005E1676">
        <w:rPr>
          <w:rFonts w:ascii="Times New Roman" w:hAnsi="Times New Roman" w:cs="Times New Roman"/>
          <w:sz w:val="24"/>
        </w:rPr>
        <w:t>cells has been of interest. In particular, aldehyde dehydrogenase has been investigated for such purposes.</w:t>
      </w:r>
      <w:r w:rsidR="00236BFF">
        <w:rPr>
          <w:rFonts w:ascii="Times New Roman" w:hAnsi="Times New Roman" w:cs="Times New Roman"/>
          <w:sz w:val="24"/>
        </w:rPr>
        <w:t xml:space="preserve"> </w:t>
      </w:r>
      <w:r w:rsidR="00F8249C">
        <w:rPr>
          <w:rFonts w:ascii="Times New Roman" w:hAnsi="Times New Roman" w:cs="Times New Roman"/>
          <w:sz w:val="24"/>
        </w:rPr>
        <w:t>(</w:t>
      </w:r>
      <w:r w:rsidR="00F8249C" w:rsidRPr="00F8249C">
        <w:rPr>
          <w:rFonts w:ascii="Times New Roman" w:hAnsi="Times New Roman" w:cs="Times New Roman"/>
          <w:sz w:val="24"/>
        </w:rPr>
        <w:t xml:space="preserve">Marcato </w:t>
      </w:r>
      <w:r w:rsidR="00F8249C">
        <w:rPr>
          <w:rFonts w:ascii="Times New Roman" w:hAnsi="Times New Roman" w:cs="Times New Roman"/>
          <w:sz w:val="24"/>
        </w:rPr>
        <w:t xml:space="preserve">et al). </w:t>
      </w:r>
      <w:r w:rsidR="005E1676">
        <w:rPr>
          <w:rFonts w:ascii="Times New Roman" w:hAnsi="Times New Roman" w:cs="Times New Roman"/>
          <w:sz w:val="24"/>
        </w:rPr>
        <w:t xml:space="preserve">Aldehyde dehydrogenase, as the name suggests, </w:t>
      </w:r>
      <w:r w:rsidR="000361A1">
        <w:rPr>
          <w:rFonts w:ascii="Times New Roman" w:hAnsi="Times New Roman" w:cs="Times New Roman"/>
          <w:sz w:val="24"/>
        </w:rPr>
        <w:t xml:space="preserve">is an oxidoreductase that functions to </w:t>
      </w:r>
      <w:r w:rsidR="005E1676">
        <w:rPr>
          <w:rFonts w:ascii="Times New Roman" w:hAnsi="Times New Roman" w:cs="Times New Roman"/>
          <w:sz w:val="24"/>
        </w:rPr>
        <w:t>catalyze the oxidation of aldehydes to their carboxylic acid counterparts.</w:t>
      </w:r>
      <w:r w:rsidR="00307F21">
        <w:rPr>
          <w:rFonts w:ascii="Times New Roman" w:hAnsi="Times New Roman" w:cs="Times New Roman"/>
          <w:sz w:val="24"/>
        </w:rPr>
        <w:t xml:space="preserve"> </w:t>
      </w:r>
      <w:r w:rsidR="00FF66D9">
        <w:rPr>
          <w:rFonts w:ascii="Times New Roman" w:hAnsi="Times New Roman" w:cs="Times New Roman"/>
          <w:sz w:val="24"/>
        </w:rPr>
        <w:t>Aldehyde dehydrogenase</w:t>
      </w:r>
      <w:r w:rsidR="00236BFF">
        <w:rPr>
          <w:rFonts w:ascii="Times New Roman" w:hAnsi="Times New Roman" w:cs="Times New Roman"/>
          <w:sz w:val="24"/>
        </w:rPr>
        <w:t xml:space="preserve"> can function as a maker for normal and cancer stem cells (</w:t>
      </w:r>
      <w:r w:rsidR="00236BFF" w:rsidRPr="00236BFF">
        <w:rPr>
          <w:rFonts w:ascii="Times New Roman" w:hAnsi="Times New Roman" w:cs="Times New Roman"/>
          <w:sz w:val="24"/>
        </w:rPr>
        <w:t>Ma</w:t>
      </w:r>
      <w:r w:rsidR="00236BFF">
        <w:rPr>
          <w:rFonts w:ascii="Times New Roman" w:hAnsi="Times New Roman" w:cs="Times New Roman"/>
          <w:sz w:val="24"/>
        </w:rPr>
        <w:t xml:space="preserve"> et al). </w:t>
      </w:r>
      <w:r w:rsidR="00FF66D9">
        <w:rPr>
          <w:rFonts w:ascii="Times New Roman" w:hAnsi="Times New Roman" w:cs="Times New Roman"/>
          <w:sz w:val="24"/>
        </w:rPr>
        <w:t xml:space="preserve">ALDH expression tends to correlate with poor prognosis in most cancers (Ma et al). </w:t>
      </w:r>
    </w:p>
    <w:p w:rsidR="000E1797" w:rsidRDefault="00FF66D9" w:rsidP="004D69EA">
      <w:pPr>
        <w:ind w:firstLine="720"/>
        <w:rPr>
          <w:rFonts w:ascii="Times New Roman" w:hAnsi="Times New Roman" w:cs="Times New Roman"/>
          <w:sz w:val="24"/>
        </w:rPr>
      </w:pPr>
      <w:r>
        <w:rPr>
          <w:rFonts w:ascii="Times New Roman" w:hAnsi="Times New Roman" w:cs="Times New Roman"/>
          <w:sz w:val="24"/>
        </w:rPr>
        <w:t xml:space="preserve">In addition to serving as a marker </w:t>
      </w:r>
      <w:r w:rsidR="00B75098">
        <w:rPr>
          <w:rFonts w:ascii="Times New Roman" w:hAnsi="Times New Roman" w:cs="Times New Roman"/>
          <w:sz w:val="24"/>
        </w:rPr>
        <w:t xml:space="preserve">for CSCs via the ALDEFLUOR assay (Ma et al) (Marcato et al), </w:t>
      </w:r>
      <w:r w:rsidR="00FA33AB">
        <w:rPr>
          <w:rFonts w:ascii="Times New Roman" w:hAnsi="Times New Roman" w:cs="Times New Roman"/>
          <w:sz w:val="24"/>
        </w:rPr>
        <w:t xml:space="preserve">ALDH is functionally important for the differentiation of CSCs as well as development of drug resistance and cellular protection against stress inducing agents (Ma et al). </w:t>
      </w:r>
      <w:r w:rsidR="008E0550">
        <w:rPr>
          <w:rFonts w:ascii="Times New Roman" w:hAnsi="Times New Roman" w:cs="Times New Roman"/>
          <w:sz w:val="24"/>
        </w:rPr>
        <w:t xml:space="preserve">Retinoid signaling pathways have been indicated in normal and cancer stem cells. Retinol is reversibly converted to retinaldehyde by alcohol dehydrogenase, and retinaldehyde is irresversibly converted to retinoic acid (RA) by ALDH1 (isoform 1). RA </w:t>
      </w:r>
      <w:r w:rsidR="003546DC">
        <w:rPr>
          <w:rFonts w:ascii="Times New Roman" w:hAnsi="Times New Roman" w:cs="Times New Roman"/>
          <w:sz w:val="24"/>
        </w:rPr>
        <w:t xml:space="preserve">then </w:t>
      </w:r>
      <w:r w:rsidR="008E0550">
        <w:rPr>
          <w:rFonts w:ascii="Times New Roman" w:hAnsi="Times New Roman" w:cs="Times New Roman"/>
          <w:sz w:val="24"/>
        </w:rPr>
        <w:t>binds to the retinoic acid receptor (RAR)</w:t>
      </w:r>
      <w:r w:rsidR="003546DC">
        <w:rPr>
          <w:rFonts w:ascii="Times New Roman" w:hAnsi="Times New Roman" w:cs="Times New Roman"/>
          <w:sz w:val="24"/>
        </w:rPr>
        <w:t xml:space="preserve">. This complex proceeds to regulate gene expression and promote differentiation. </w:t>
      </w:r>
      <w:r w:rsidR="008B2145">
        <w:rPr>
          <w:rFonts w:ascii="Times New Roman" w:hAnsi="Times New Roman" w:cs="Times New Roman"/>
          <w:sz w:val="24"/>
        </w:rPr>
        <w:t>In low concentrations of RA, the RAR binds the retinoic acid response element (RARE) and the CCAAT/enhancer binding protein-β</w:t>
      </w:r>
      <w:r w:rsidR="00BE67D4">
        <w:rPr>
          <w:rFonts w:ascii="Times New Roman" w:hAnsi="Times New Roman" w:cs="Times New Roman"/>
          <w:sz w:val="24"/>
        </w:rPr>
        <w:t xml:space="preserve"> to the CCAAT box, which activates transcription of ALDH1, resulting in an increase in RA, and resistance to cytotoxic drugs. The converse is true as well, where a high concentration of RA </w:t>
      </w:r>
      <w:r w:rsidR="00E849B3">
        <w:rPr>
          <w:rFonts w:ascii="Times New Roman" w:hAnsi="Times New Roman" w:cs="Times New Roman"/>
          <w:sz w:val="24"/>
        </w:rPr>
        <w:t>inhibits transcription of ALDH1, increasing cellular drug sensitivity.</w:t>
      </w:r>
    </w:p>
    <w:p w:rsidR="00984502" w:rsidRDefault="00306ED4" w:rsidP="004D69EA">
      <w:pPr>
        <w:ind w:firstLine="720"/>
        <w:rPr>
          <w:rFonts w:ascii="Times New Roman" w:hAnsi="Times New Roman" w:cs="Times New Roman"/>
          <w:sz w:val="24"/>
        </w:rPr>
      </w:pPr>
      <w:r>
        <w:rPr>
          <w:rFonts w:ascii="Times New Roman" w:hAnsi="Times New Roman" w:cs="Times New Roman"/>
          <w:sz w:val="24"/>
        </w:rPr>
        <w:t xml:space="preserve">The relationship between CSCs, VACV, and ALDH may not be immediately apparent. However, Wang et al </w:t>
      </w:r>
      <w:r w:rsidR="00B372BA">
        <w:rPr>
          <w:rFonts w:ascii="Times New Roman" w:hAnsi="Times New Roman" w:cs="Times New Roman"/>
          <w:sz w:val="24"/>
        </w:rPr>
        <w:t>published a study showing that o</w:t>
      </w:r>
      <w:r w:rsidR="00B372BA" w:rsidRPr="00B372BA">
        <w:rPr>
          <w:rFonts w:ascii="Times New Roman" w:hAnsi="Times New Roman" w:cs="Times New Roman"/>
          <w:sz w:val="24"/>
        </w:rPr>
        <w:t xml:space="preserve">ncolytic vaccinia virus GLV-1h68 strain shows enhanced replication in human breast </w:t>
      </w:r>
      <w:r w:rsidR="00B372BA">
        <w:rPr>
          <w:rFonts w:ascii="Times New Roman" w:hAnsi="Times New Roman" w:cs="Times New Roman"/>
          <w:sz w:val="24"/>
        </w:rPr>
        <w:t>CSCs</w:t>
      </w:r>
      <w:r w:rsidR="00B372BA" w:rsidRPr="00B372BA">
        <w:rPr>
          <w:rFonts w:ascii="Times New Roman" w:hAnsi="Times New Roman" w:cs="Times New Roman"/>
          <w:sz w:val="24"/>
        </w:rPr>
        <w:t xml:space="preserve"> in comparison to breast cancer cells</w:t>
      </w:r>
      <w:r w:rsidR="00B372BA">
        <w:rPr>
          <w:rFonts w:ascii="Times New Roman" w:hAnsi="Times New Roman" w:cs="Times New Roman"/>
          <w:sz w:val="24"/>
        </w:rPr>
        <w:t xml:space="preserve">. </w:t>
      </w:r>
      <w:r w:rsidR="00CC6EFF">
        <w:rPr>
          <w:rFonts w:ascii="Times New Roman" w:hAnsi="Times New Roman" w:cs="Times New Roman"/>
          <w:sz w:val="24"/>
        </w:rPr>
        <w:t>Wang et al classified cells based on ALDH expression using the ALDEFLUOR assay, which separates cells with high ALDH expression from those without it. They found that the VACV strain used in the study replicated more efficiently in ALDEFLUOR-positive cells (cancer stem cells) compared to ALDEFLUOR-negative cells.</w:t>
      </w:r>
      <w:r w:rsidR="0028575E">
        <w:rPr>
          <w:rFonts w:ascii="Times New Roman" w:hAnsi="Times New Roman" w:cs="Times New Roman"/>
          <w:sz w:val="24"/>
        </w:rPr>
        <w:t xml:space="preserve"> They found that the viral titer in ALDEFLUOR positive cells was three times higher at an MOI (multiplicity of infection; ratio of virus to cells) of 0.01, and two times higher at an MOI of 10 </w:t>
      </w:r>
      <w:r w:rsidR="00EF67BA">
        <w:rPr>
          <w:rFonts w:ascii="Times New Roman" w:hAnsi="Times New Roman" w:cs="Times New Roman"/>
          <w:sz w:val="24"/>
        </w:rPr>
        <w:t xml:space="preserve">when compared to ALDEFLUOR negative cells. Additionally, they found that the vaccinia virus GLV-1h68 strain used in the study eliminated tumor xenografts from </w:t>
      </w:r>
      <w:r w:rsidR="00EF67BA" w:rsidRPr="00EF67BA">
        <w:rPr>
          <w:rFonts w:ascii="Times New Roman" w:hAnsi="Times New Roman" w:cs="Times New Roman"/>
          <w:sz w:val="24"/>
        </w:rPr>
        <w:t>ALDEFLUOR-positive cells more efficiently than that derived from ALDEFLUOR-negative cells</w:t>
      </w:r>
      <w:r w:rsidR="00FC1C34">
        <w:rPr>
          <w:rFonts w:ascii="Times New Roman" w:hAnsi="Times New Roman" w:cs="Times New Roman"/>
          <w:sz w:val="24"/>
        </w:rPr>
        <w:t xml:space="preserve">. This was based on a measurement in reduction of tumor size, where </w:t>
      </w:r>
      <w:r w:rsidR="00FC1C34" w:rsidRPr="00FC1C34">
        <w:rPr>
          <w:rFonts w:ascii="Times New Roman" w:hAnsi="Times New Roman" w:cs="Times New Roman"/>
          <w:sz w:val="24"/>
        </w:rPr>
        <w:t>ALDEFLUOR-positive cells showed a more tumor size reduction after virus treatments</w:t>
      </w:r>
      <w:r w:rsidR="00FC1C34">
        <w:rPr>
          <w:rFonts w:ascii="Times New Roman" w:hAnsi="Times New Roman" w:cs="Times New Roman"/>
          <w:sz w:val="24"/>
        </w:rPr>
        <w:t>. Additionally, the viral replication was more efficient which resulted in faster tumor regression and earl</w:t>
      </w:r>
      <w:r w:rsidR="005A341B">
        <w:rPr>
          <w:rFonts w:ascii="Times New Roman" w:hAnsi="Times New Roman" w:cs="Times New Roman"/>
          <w:sz w:val="24"/>
        </w:rPr>
        <w:t>ier detection of flurorescence.</w:t>
      </w:r>
    </w:p>
    <w:p w:rsidR="005A341B" w:rsidRDefault="00E42E4C" w:rsidP="004D69EA">
      <w:pPr>
        <w:ind w:firstLine="720"/>
        <w:rPr>
          <w:rFonts w:ascii="Times New Roman" w:hAnsi="Times New Roman" w:cs="Times New Roman"/>
          <w:sz w:val="24"/>
        </w:rPr>
      </w:pPr>
      <w:r>
        <w:rPr>
          <w:rFonts w:ascii="Times New Roman" w:hAnsi="Times New Roman" w:cs="Times New Roman"/>
          <w:sz w:val="24"/>
        </w:rPr>
        <w:lastRenderedPageBreak/>
        <w:t>While Wang et al provided convincing results that VACV repl</w:t>
      </w:r>
      <w:r w:rsidR="00EE25BA">
        <w:rPr>
          <w:rFonts w:ascii="Times New Roman" w:hAnsi="Times New Roman" w:cs="Times New Roman"/>
          <w:sz w:val="24"/>
        </w:rPr>
        <w:t xml:space="preserve">icated more efficiently in CSCs, they failed to provide a mechanism </w:t>
      </w:r>
      <w:r w:rsidR="006C595B">
        <w:rPr>
          <w:rFonts w:ascii="Times New Roman" w:hAnsi="Times New Roman" w:cs="Times New Roman"/>
          <w:sz w:val="24"/>
        </w:rPr>
        <w:t>as to why this is the c</w:t>
      </w:r>
      <w:r w:rsidR="003909EF">
        <w:rPr>
          <w:rFonts w:ascii="Times New Roman" w:hAnsi="Times New Roman" w:cs="Times New Roman"/>
          <w:sz w:val="24"/>
        </w:rPr>
        <w:t xml:space="preserve">ase. The interaction between ALDH (or any of its upstream or downstream metabolites or products) </w:t>
      </w:r>
      <w:r w:rsidR="00296862">
        <w:rPr>
          <w:rFonts w:ascii="Times New Roman" w:hAnsi="Times New Roman" w:cs="Times New Roman"/>
          <w:sz w:val="24"/>
        </w:rPr>
        <w:t>and VACV v</w:t>
      </w:r>
      <w:r w:rsidR="00350241">
        <w:rPr>
          <w:rFonts w:ascii="Times New Roman" w:hAnsi="Times New Roman" w:cs="Times New Roman"/>
          <w:sz w:val="24"/>
        </w:rPr>
        <w:t xml:space="preserve">irions or gene products remains </w:t>
      </w:r>
      <w:r w:rsidR="000E1CE4">
        <w:rPr>
          <w:rFonts w:ascii="Times New Roman" w:hAnsi="Times New Roman" w:cs="Times New Roman"/>
          <w:sz w:val="24"/>
        </w:rPr>
        <w:t xml:space="preserve">unknown. From the results of Wang et al, two conclusions can be made; ALDH or one of its </w:t>
      </w:r>
      <w:r w:rsidR="00901D57">
        <w:rPr>
          <w:rFonts w:ascii="Times New Roman" w:hAnsi="Times New Roman" w:cs="Times New Roman"/>
          <w:sz w:val="24"/>
        </w:rPr>
        <w:t xml:space="preserve">related upstream or downstream products enhances the replication of VACV, and VACV is more lethal to cells with ALDH expression (these can be interpreted as a similar conclusion viewed in different ways). </w:t>
      </w:r>
      <w:r w:rsidR="00A71A7B">
        <w:rPr>
          <w:rFonts w:ascii="Times New Roman" w:hAnsi="Times New Roman" w:cs="Times New Roman"/>
          <w:sz w:val="24"/>
        </w:rPr>
        <w:t>B</w:t>
      </w:r>
      <w:r w:rsidR="00196E1C">
        <w:rPr>
          <w:rFonts w:ascii="Times New Roman" w:hAnsi="Times New Roman" w:cs="Times New Roman"/>
          <w:sz w:val="24"/>
        </w:rPr>
        <w:t xml:space="preserve">ecause there are many steps for Vaccinia </w:t>
      </w:r>
      <w:r w:rsidR="004A6FC1">
        <w:rPr>
          <w:rFonts w:ascii="Times New Roman" w:hAnsi="Times New Roman" w:cs="Times New Roman"/>
          <w:sz w:val="24"/>
        </w:rPr>
        <w:t xml:space="preserve">virus replication </w:t>
      </w:r>
      <w:r w:rsidR="00AC21F9">
        <w:rPr>
          <w:rFonts w:ascii="Times New Roman" w:hAnsi="Times New Roman" w:cs="Times New Roman"/>
          <w:sz w:val="24"/>
        </w:rPr>
        <w:t xml:space="preserve">and </w:t>
      </w:r>
      <w:r w:rsidR="00EC4EED">
        <w:rPr>
          <w:rFonts w:ascii="Times New Roman" w:hAnsi="Times New Roman" w:cs="Times New Roman"/>
          <w:sz w:val="24"/>
        </w:rPr>
        <w:t xml:space="preserve">many possible ways an ALDH </w:t>
      </w:r>
      <w:r w:rsidR="00B45B5D">
        <w:rPr>
          <w:rFonts w:ascii="Times New Roman" w:hAnsi="Times New Roman" w:cs="Times New Roman"/>
          <w:sz w:val="24"/>
        </w:rPr>
        <w:t xml:space="preserve">positive cell </w:t>
      </w:r>
      <w:r w:rsidR="00EA6B96">
        <w:rPr>
          <w:rFonts w:ascii="Times New Roman" w:hAnsi="Times New Roman" w:cs="Times New Roman"/>
          <w:sz w:val="24"/>
        </w:rPr>
        <w:t>could change the mechanism of replication, it would be pertinent to identify the step in the VACV life cycle that is affected by the presence of ALDH and re</w:t>
      </w:r>
      <w:r w:rsidR="00743F91">
        <w:rPr>
          <w:rFonts w:ascii="Times New Roman" w:hAnsi="Times New Roman" w:cs="Times New Roman"/>
          <w:sz w:val="24"/>
        </w:rPr>
        <w:t>lated compounds. We will quantitatively test this hypothesis as outline in the next section.</w:t>
      </w:r>
    </w:p>
    <w:p w:rsidR="00743F91" w:rsidRDefault="006123AC" w:rsidP="00743F91">
      <w:pPr>
        <w:rPr>
          <w:rFonts w:ascii="Times New Roman" w:hAnsi="Times New Roman" w:cs="Times New Roman"/>
          <w:sz w:val="24"/>
        </w:rPr>
      </w:pPr>
      <w:r>
        <w:rPr>
          <w:rFonts w:ascii="Times New Roman" w:hAnsi="Times New Roman" w:cs="Times New Roman"/>
          <w:b/>
          <w:sz w:val="24"/>
        </w:rPr>
        <w:t>II. Experiment</w:t>
      </w:r>
    </w:p>
    <w:p w:rsidR="006123AC" w:rsidRDefault="003F2543" w:rsidP="00A411D7">
      <w:pPr>
        <w:rPr>
          <w:rFonts w:ascii="Times New Roman" w:hAnsi="Times New Roman" w:cs="Times New Roman"/>
          <w:sz w:val="24"/>
        </w:rPr>
      </w:pPr>
      <w:r>
        <w:rPr>
          <w:rFonts w:ascii="Times New Roman" w:hAnsi="Times New Roman" w:cs="Times New Roman"/>
          <w:sz w:val="24"/>
        </w:rPr>
        <w:t>The goal of his study is to establish whether infection by vaccinia virus has any effect on the intracellular retinoic acid signaling pathway in stem cells and whether the presence of retinoic acid and related signaling components has an effect on the number of virions produced. Because</w:t>
      </w:r>
      <w:r w:rsidR="00EB35EC">
        <w:rPr>
          <w:rFonts w:ascii="Times New Roman" w:hAnsi="Times New Roman" w:cs="Times New Roman"/>
          <w:sz w:val="24"/>
        </w:rPr>
        <w:t xml:space="preserve"> CSCs saw a greater decrease in mass, I predict that infection by vaccinia </w:t>
      </w:r>
      <w:r w:rsidR="006841B1">
        <w:rPr>
          <w:rFonts w:ascii="Times New Roman" w:hAnsi="Times New Roman" w:cs="Times New Roman"/>
          <w:sz w:val="24"/>
        </w:rPr>
        <w:t xml:space="preserve">interferes with the signaling pathway in that it blocks a critical step or otherwise antagonizes the pathway in order to decrease cellular survival. Additionally, the presence of RA or related metabolites or cellular signaling components </w:t>
      </w:r>
      <w:r w:rsidR="007D51FD">
        <w:rPr>
          <w:rFonts w:ascii="Times New Roman" w:hAnsi="Times New Roman" w:cs="Times New Roman"/>
          <w:sz w:val="24"/>
        </w:rPr>
        <w:t>increases the number of virions produced at one of the four stages during vaccinia development.</w:t>
      </w:r>
    </w:p>
    <w:p w:rsidR="007D51FD" w:rsidRDefault="007D51FD" w:rsidP="00743F91">
      <w:pPr>
        <w:rPr>
          <w:rFonts w:ascii="Times New Roman" w:hAnsi="Times New Roman" w:cs="Times New Roman"/>
          <w:sz w:val="24"/>
        </w:rPr>
      </w:pPr>
      <w:r>
        <w:rPr>
          <w:rFonts w:ascii="Times New Roman" w:hAnsi="Times New Roman" w:cs="Times New Roman"/>
          <w:sz w:val="24"/>
        </w:rPr>
        <w:t>II.A. Biosensors</w:t>
      </w:r>
    </w:p>
    <w:p w:rsidR="007D51FD" w:rsidRDefault="00BA53BE" w:rsidP="00743F91">
      <w:pPr>
        <w:rPr>
          <w:rFonts w:ascii="Times New Roman" w:hAnsi="Times New Roman" w:cs="Times New Roman"/>
          <w:sz w:val="24"/>
        </w:rPr>
      </w:pPr>
      <w:r>
        <w:rPr>
          <w:rFonts w:ascii="Times New Roman" w:hAnsi="Times New Roman" w:cs="Times New Roman"/>
          <w:sz w:val="24"/>
        </w:rPr>
        <w:t>Due to their low number within a tumor, it will be difficult to measure the concentrations of var</w:t>
      </w:r>
      <w:r w:rsidR="001120FA">
        <w:rPr>
          <w:rFonts w:ascii="Times New Roman" w:hAnsi="Times New Roman" w:cs="Times New Roman"/>
          <w:sz w:val="24"/>
        </w:rPr>
        <w:t xml:space="preserve">ious metabolites in multiple settings after the infection begins. </w:t>
      </w:r>
    </w:p>
    <w:p w:rsidR="00476F01" w:rsidRDefault="00476F01" w:rsidP="00476F01">
      <w:pPr>
        <w:keepNext/>
      </w:pPr>
      <w:r>
        <w:rPr>
          <w:noProof/>
        </w:rPr>
        <w:lastRenderedPageBreak/>
        <w:drawing>
          <wp:inline distT="0" distB="0" distL="0" distR="0" wp14:anchorId="32C86127" wp14:editId="4C43E44B">
            <wp:extent cx="5362575" cy="3076575"/>
            <wp:effectExtent l="0" t="0" r="9525" b="9525"/>
            <wp:docPr id="4" name="Picture 4" descr="http://zeiss-campus.magnet.fsu.edu/tutorials/spectralimaging/fretbiosensors/fretbiosensor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eiss-campus.magnet.fsu.edu/tutorials/spectralimaging/fretbiosensors/fretbiosensors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3076575"/>
                    </a:xfrm>
                    <a:prstGeom prst="rect">
                      <a:avLst/>
                    </a:prstGeom>
                    <a:noFill/>
                    <a:ln>
                      <a:noFill/>
                    </a:ln>
                  </pic:spPr>
                </pic:pic>
              </a:graphicData>
            </a:graphic>
          </wp:inline>
        </w:drawing>
      </w:r>
    </w:p>
    <w:p w:rsidR="00476F01" w:rsidRDefault="00476F01" w:rsidP="00476F01">
      <w:pPr>
        <w:pStyle w:val="Caption"/>
        <w:rPr>
          <w:b w:val="0"/>
          <w:noProof/>
          <w:color w:val="000000" w:themeColor="text1"/>
        </w:rPr>
      </w:pPr>
      <w:r w:rsidRPr="005B6001">
        <w:rPr>
          <w:color w:val="000000" w:themeColor="text1"/>
        </w:rPr>
        <w:t xml:space="preserve">Figure </w:t>
      </w:r>
      <w:r w:rsidRPr="005B6001">
        <w:rPr>
          <w:color w:val="000000" w:themeColor="text1"/>
        </w:rPr>
        <w:fldChar w:fldCharType="begin"/>
      </w:r>
      <w:r w:rsidRPr="005B6001">
        <w:rPr>
          <w:color w:val="000000" w:themeColor="text1"/>
        </w:rPr>
        <w:instrText xml:space="preserve"> SEQ Figure \* ARABIC </w:instrText>
      </w:r>
      <w:r w:rsidRPr="005B6001">
        <w:rPr>
          <w:color w:val="000000" w:themeColor="text1"/>
        </w:rPr>
        <w:fldChar w:fldCharType="separate"/>
      </w:r>
      <w:r w:rsidRPr="005B6001">
        <w:rPr>
          <w:noProof/>
          <w:color w:val="000000" w:themeColor="text1"/>
        </w:rPr>
        <w:t>1</w:t>
      </w:r>
      <w:r w:rsidRPr="005B6001">
        <w:rPr>
          <w:color w:val="000000" w:themeColor="text1"/>
        </w:rPr>
        <w:fldChar w:fldCharType="end"/>
      </w:r>
      <w:r w:rsidRPr="005B6001">
        <w:rPr>
          <w:color w:val="000000" w:themeColor="text1"/>
        </w:rPr>
        <w:t xml:space="preserve">: </w:t>
      </w:r>
      <w:r w:rsidRPr="005B6001">
        <w:rPr>
          <w:noProof/>
          <w:color w:val="000000" w:themeColor="text1"/>
        </w:rPr>
        <w:t xml:space="preserve"> Basic methods and variation behind the FRET biosensors.</w:t>
      </w:r>
      <w:r w:rsidR="005B6001" w:rsidRPr="005B6001">
        <w:rPr>
          <w:noProof/>
          <w:color w:val="000000" w:themeColor="text1"/>
        </w:rPr>
        <w:t xml:space="preserve"> </w:t>
      </w:r>
      <w:r w:rsidR="005B6001" w:rsidRPr="005B6001">
        <w:rPr>
          <w:b w:val="0"/>
          <w:noProof/>
          <w:color w:val="000000" w:themeColor="text1"/>
        </w:rPr>
        <w:t>Fluorescent resonance energy transfer (FRET) is a highly sensitive technique that relies on a protein with two domains and two fluorescent proteins (typically, cyan fluorescent protein [CFP] and yellow fluorescent protein [YFP]). In the absence of metabolites, the domains are separate and so are the fluorescent proteins. As thus, irradiation results in blue fluorescence. When metabolites are present and the domains bind (as in case a), yellow fluorescence is observed instead. The amount of yellow fluorescence can then be measured as an indicator of the amount of metabolite bound.</w:t>
      </w:r>
      <w:r w:rsidR="005B6001">
        <w:rPr>
          <w:b w:val="0"/>
          <w:noProof/>
          <w:color w:val="000000" w:themeColor="text1"/>
        </w:rPr>
        <w:t xml:space="preserve"> There are</w:t>
      </w:r>
      <w:r w:rsidR="008F1BD9">
        <w:rPr>
          <w:b w:val="0"/>
          <w:noProof/>
          <w:color w:val="000000" w:themeColor="text1"/>
        </w:rPr>
        <w:t xml:space="preserve"> multiple ways to utilize FRET relating to how the substrate and sensory domain interact. For our purposes, the most simliar instance would be that visualized in figure (b).</w:t>
      </w:r>
    </w:p>
    <w:p w:rsidR="00E223C8" w:rsidRDefault="00CB25E2" w:rsidP="00E223C8">
      <w:pPr>
        <w:rPr>
          <w:rFonts w:ascii="Times New Roman" w:hAnsi="Times New Roman" w:cs="Times New Roman"/>
          <w:sz w:val="24"/>
        </w:rPr>
      </w:pPr>
      <w:r>
        <w:rPr>
          <w:rFonts w:ascii="Times New Roman" w:hAnsi="Times New Roman" w:cs="Times New Roman"/>
          <w:sz w:val="24"/>
        </w:rPr>
        <w:t>A study</w:t>
      </w:r>
      <w:r w:rsidR="00CA4407">
        <w:rPr>
          <w:rFonts w:ascii="Times New Roman" w:hAnsi="Times New Roman" w:cs="Times New Roman"/>
          <w:sz w:val="24"/>
        </w:rPr>
        <w:t xml:space="preserve"> conducted by Shimozono et al (2013) utilized genetically encoded probes for retinoic acid (GEPRAs) </w:t>
      </w:r>
      <w:r w:rsidR="000E4465">
        <w:rPr>
          <w:rFonts w:ascii="Times New Roman" w:hAnsi="Times New Roman" w:cs="Times New Roman"/>
          <w:sz w:val="24"/>
        </w:rPr>
        <w:t>combined with FRET in order to measure concentrations of free retinoic acid. The retinoic acid receptors were engineered to incorporate cyan emitting and yellow emitting fluorescent proteins as the FRET donor and acceptor.</w:t>
      </w:r>
      <w:r w:rsidR="002911B6">
        <w:rPr>
          <w:rFonts w:ascii="Times New Roman" w:hAnsi="Times New Roman" w:cs="Times New Roman"/>
          <w:sz w:val="24"/>
        </w:rPr>
        <w:t xml:space="preserve"> Three GEPRAs were created with different RA affinities, allowing for the quantification of physiological RA concentrations. </w:t>
      </w:r>
      <w:r>
        <w:rPr>
          <w:rFonts w:ascii="Times New Roman" w:hAnsi="Times New Roman" w:cs="Times New Roman"/>
          <w:sz w:val="24"/>
        </w:rPr>
        <w:t xml:space="preserve">This was done across a range of developmental states in order to monitor the effects of RA on each stage of development. </w:t>
      </w:r>
    </w:p>
    <w:p w:rsidR="00662D8B" w:rsidRDefault="008B543A" w:rsidP="00E223C8">
      <w:pPr>
        <w:rPr>
          <w:rFonts w:ascii="Times New Roman" w:hAnsi="Times New Roman" w:cs="Times New Roman"/>
          <w:sz w:val="24"/>
        </w:rPr>
      </w:pPr>
      <w:r>
        <w:rPr>
          <w:rFonts w:ascii="Times New Roman" w:hAnsi="Times New Roman" w:cs="Times New Roman"/>
          <w:sz w:val="24"/>
        </w:rPr>
        <w:t>While it would be ideal to measure the concentrations of retinol, retinaldehyde, and retionoic acid,</w:t>
      </w:r>
      <w:r w:rsidR="00A773C2">
        <w:rPr>
          <w:rFonts w:ascii="Times New Roman" w:hAnsi="Times New Roman" w:cs="Times New Roman"/>
          <w:sz w:val="24"/>
        </w:rPr>
        <w:t xml:space="preserve"> biosensors for the former two compounds do not exist (</w:t>
      </w:r>
      <w:r w:rsidR="00A773C2" w:rsidRPr="00A773C2">
        <w:rPr>
          <w:rFonts w:ascii="Times New Roman" w:hAnsi="Times New Roman" w:cs="Times New Roman"/>
          <w:sz w:val="24"/>
        </w:rPr>
        <w:t>Okumoto</w:t>
      </w:r>
      <w:r w:rsidR="00A773C2">
        <w:rPr>
          <w:rFonts w:ascii="Times New Roman" w:hAnsi="Times New Roman" w:cs="Times New Roman"/>
          <w:sz w:val="24"/>
        </w:rPr>
        <w:t xml:space="preserve"> et al).</w:t>
      </w:r>
      <w:r w:rsidR="00B05AA6">
        <w:rPr>
          <w:rFonts w:ascii="Times New Roman" w:hAnsi="Times New Roman" w:cs="Times New Roman"/>
          <w:sz w:val="24"/>
        </w:rPr>
        <w:t xml:space="preserve"> As thus, quantifying the levels retinoic acid in order to understand when the presence of the vaccinia virus makes a difference will have to suffice.</w:t>
      </w:r>
    </w:p>
    <w:p w:rsidR="00C2076B" w:rsidRDefault="00662D8B" w:rsidP="00E223C8">
      <w:pPr>
        <w:rPr>
          <w:rFonts w:ascii="Times New Roman" w:hAnsi="Times New Roman" w:cs="Times New Roman"/>
          <w:sz w:val="24"/>
        </w:rPr>
      </w:pPr>
      <w:r>
        <w:rPr>
          <w:rFonts w:ascii="Times New Roman" w:hAnsi="Times New Roman" w:cs="Times New Roman"/>
          <w:sz w:val="24"/>
        </w:rPr>
        <w:t>II. B. Inserting the biosensor to th</w:t>
      </w:r>
      <w:r w:rsidR="00C2076B">
        <w:rPr>
          <w:rFonts w:ascii="Times New Roman" w:hAnsi="Times New Roman" w:cs="Times New Roman"/>
          <w:sz w:val="24"/>
        </w:rPr>
        <w:t>e stem cell</w:t>
      </w:r>
    </w:p>
    <w:p w:rsidR="00C2076B" w:rsidRDefault="00200A57" w:rsidP="00E223C8">
      <w:pPr>
        <w:rPr>
          <w:rFonts w:ascii="Times New Roman" w:hAnsi="Times New Roman" w:cs="Times New Roman"/>
          <w:sz w:val="24"/>
        </w:rPr>
      </w:pPr>
      <w:r>
        <w:rPr>
          <w:rFonts w:ascii="Times New Roman" w:hAnsi="Times New Roman" w:cs="Times New Roman"/>
          <w:sz w:val="24"/>
        </w:rPr>
        <w:t>GEPRAs will be created with different affinities for RA, as done by Shimozono et al.</w:t>
      </w:r>
      <w:r w:rsidR="000C2D1A">
        <w:rPr>
          <w:rFonts w:ascii="Times New Roman" w:hAnsi="Times New Roman" w:cs="Times New Roman"/>
          <w:sz w:val="24"/>
        </w:rPr>
        <w:t xml:space="preserve"> </w:t>
      </w:r>
      <w:r w:rsidR="0098744B">
        <w:rPr>
          <w:rFonts w:ascii="Times New Roman" w:hAnsi="Times New Roman" w:cs="Times New Roman"/>
          <w:sz w:val="24"/>
        </w:rPr>
        <w:t>Breast cancer s</w:t>
      </w:r>
      <w:r w:rsidR="000C2D1A">
        <w:rPr>
          <w:rFonts w:ascii="Times New Roman" w:hAnsi="Times New Roman" w:cs="Times New Roman"/>
          <w:sz w:val="24"/>
        </w:rPr>
        <w:t>tem cel</w:t>
      </w:r>
      <w:r w:rsidR="00F17B31">
        <w:rPr>
          <w:rFonts w:ascii="Times New Roman" w:hAnsi="Times New Roman" w:cs="Times New Roman"/>
          <w:sz w:val="24"/>
        </w:rPr>
        <w:t xml:space="preserve">ls genetically modified to express GEPRAs will be created </w:t>
      </w:r>
      <w:r w:rsidR="0089627E">
        <w:rPr>
          <w:rFonts w:ascii="Times New Roman" w:hAnsi="Times New Roman" w:cs="Times New Roman"/>
          <w:sz w:val="24"/>
        </w:rPr>
        <w:t xml:space="preserve">in a manner similar to Blurton-Jones et al, who modified neural stem cells to express neprilysin as a model for alzheimer’s disease. </w:t>
      </w:r>
      <w:r w:rsidR="00CC1DE8">
        <w:rPr>
          <w:rFonts w:ascii="Times New Roman" w:hAnsi="Times New Roman" w:cs="Times New Roman"/>
          <w:sz w:val="24"/>
        </w:rPr>
        <w:t xml:space="preserve">Vaccinia virus </w:t>
      </w:r>
      <w:r w:rsidR="00CC1DE8" w:rsidRPr="00CC1DE8">
        <w:rPr>
          <w:rFonts w:ascii="Times New Roman" w:hAnsi="Times New Roman" w:cs="Times New Roman"/>
          <w:sz w:val="24"/>
        </w:rPr>
        <w:t>GLV-1h68</w:t>
      </w:r>
      <w:r w:rsidR="0010336A">
        <w:rPr>
          <w:rFonts w:ascii="Times New Roman" w:hAnsi="Times New Roman" w:cs="Times New Roman"/>
          <w:sz w:val="24"/>
        </w:rPr>
        <w:t xml:space="preserve"> will used to infect the</w:t>
      </w:r>
      <w:r w:rsidR="0098744B">
        <w:rPr>
          <w:rFonts w:ascii="Times New Roman" w:hAnsi="Times New Roman" w:cs="Times New Roman"/>
          <w:sz w:val="24"/>
        </w:rPr>
        <w:t xml:space="preserve"> cancer</w:t>
      </w:r>
      <w:r w:rsidR="0010336A">
        <w:rPr>
          <w:rFonts w:ascii="Times New Roman" w:hAnsi="Times New Roman" w:cs="Times New Roman"/>
          <w:sz w:val="24"/>
        </w:rPr>
        <w:t xml:space="preserve"> cells at an MOI of 10 and 0.01 (the same concentration and strain used by Wang et al). </w:t>
      </w:r>
      <w:r w:rsidR="004A0F06">
        <w:rPr>
          <w:rFonts w:ascii="Times New Roman" w:hAnsi="Times New Roman" w:cs="Times New Roman"/>
          <w:sz w:val="24"/>
        </w:rPr>
        <w:t xml:space="preserve">Levels of RA will be </w:t>
      </w:r>
      <w:r w:rsidR="004A0F06">
        <w:rPr>
          <w:rFonts w:ascii="Times New Roman" w:hAnsi="Times New Roman" w:cs="Times New Roman"/>
          <w:sz w:val="24"/>
        </w:rPr>
        <w:lastRenderedPageBreak/>
        <w:t xml:space="preserve">measured using multiple GEPRAs, in a way similar to Shimozono et al. To visualize the change in RA as </w:t>
      </w:r>
      <w:r w:rsidR="00D522F3">
        <w:rPr>
          <w:rFonts w:ascii="Times New Roman" w:hAnsi="Times New Roman" w:cs="Times New Roman"/>
          <w:sz w:val="24"/>
        </w:rPr>
        <w:t>infection</w:t>
      </w:r>
      <w:r w:rsidR="004A0F06">
        <w:rPr>
          <w:rFonts w:ascii="Times New Roman" w:hAnsi="Times New Roman" w:cs="Times New Roman"/>
          <w:sz w:val="24"/>
        </w:rPr>
        <w:t xml:space="preserve"> progresses, the levels will be measured </w:t>
      </w:r>
      <w:r w:rsidR="0010336A">
        <w:rPr>
          <w:rFonts w:ascii="Times New Roman" w:hAnsi="Times New Roman" w:cs="Times New Roman"/>
          <w:sz w:val="24"/>
        </w:rPr>
        <w:t xml:space="preserve">in a time dependent fashion. Additionally, viral particles </w:t>
      </w:r>
      <w:r w:rsidR="00535DA2">
        <w:rPr>
          <w:rFonts w:ascii="Times New Roman" w:hAnsi="Times New Roman" w:cs="Times New Roman"/>
          <w:sz w:val="24"/>
        </w:rPr>
        <w:t xml:space="preserve">from the </w:t>
      </w:r>
      <w:r w:rsidR="001A5B72">
        <w:rPr>
          <w:rFonts w:ascii="Times New Roman" w:hAnsi="Times New Roman" w:cs="Times New Roman"/>
          <w:sz w:val="24"/>
        </w:rPr>
        <w:t xml:space="preserve">infected cells will be </w:t>
      </w:r>
      <w:r w:rsidR="00535DA2">
        <w:rPr>
          <w:rFonts w:ascii="Times New Roman" w:hAnsi="Times New Roman" w:cs="Times New Roman"/>
          <w:sz w:val="24"/>
        </w:rPr>
        <w:t>released using a freeze-thaw cycle and the titers determined by plaque assays in order to record the number of various virion intermediates in the vaccinia life cycle (the same procedure will be used as Wang et al.)</w:t>
      </w:r>
    </w:p>
    <w:p w:rsidR="00515A9A" w:rsidRDefault="00515A9A" w:rsidP="00E223C8">
      <w:pPr>
        <w:rPr>
          <w:rFonts w:ascii="Times New Roman" w:hAnsi="Times New Roman" w:cs="Times New Roman"/>
          <w:sz w:val="24"/>
        </w:rPr>
      </w:pPr>
      <w:r>
        <w:rPr>
          <w:rFonts w:ascii="Times New Roman" w:hAnsi="Times New Roman" w:cs="Times New Roman"/>
          <w:b/>
          <w:sz w:val="24"/>
        </w:rPr>
        <w:t>III. Discussion</w:t>
      </w:r>
    </w:p>
    <w:p w:rsidR="00CB48FF" w:rsidRDefault="001A5B72" w:rsidP="003F530B">
      <w:pPr>
        <w:ind w:firstLine="720"/>
        <w:rPr>
          <w:rFonts w:ascii="Times New Roman" w:hAnsi="Times New Roman" w:cs="Times New Roman"/>
          <w:sz w:val="24"/>
        </w:rPr>
      </w:pPr>
      <w:r>
        <w:rPr>
          <w:rFonts w:ascii="Times New Roman" w:hAnsi="Times New Roman" w:cs="Times New Roman"/>
          <w:sz w:val="24"/>
        </w:rPr>
        <w:t>The expected results are that RA concentrations will be decreased and that virion intermediates will be increased in number (however, I am unable to make predictions as to which of the 4 intermediates will exhibit a change in concentration).</w:t>
      </w:r>
      <w:r w:rsidR="002E79E5">
        <w:rPr>
          <w:rFonts w:ascii="Times New Roman" w:hAnsi="Times New Roman" w:cs="Times New Roman"/>
          <w:sz w:val="24"/>
        </w:rPr>
        <w:t xml:space="preserve"> It would be appealing but equally unwise and perhaps even reckless to draw a conclusion about the concentrations of upstream and downstream products, as we were unable to directly measure them. Additionally, </w:t>
      </w:r>
      <w:r w:rsidR="003F530B">
        <w:rPr>
          <w:rFonts w:ascii="Times New Roman" w:hAnsi="Times New Roman" w:cs="Times New Roman"/>
          <w:sz w:val="24"/>
        </w:rPr>
        <w:t xml:space="preserve">this experiment will not directly identify </w:t>
      </w:r>
      <w:r w:rsidR="003F530B">
        <w:rPr>
          <w:rFonts w:ascii="Times New Roman" w:hAnsi="Times New Roman" w:cs="Times New Roman"/>
          <w:i/>
          <w:sz w:val="24"/>
        </w:rPr>
        <w:t>how</w:t>
      </w:r>
      <w:r w:rsidR="003F530B">
        <w:rPr>
          <w:rFonts w:ascii="Times New Roman" w:hAnsi="Times New Roman" w:cs="Times New Roman"/>
          <w:sz w:val="24"/>
        </w:rPr>
        <w:t xml:space="preserve"> virus infection changes RA acid levels or vice versa. </w:t>
      </w:r>
    </w:p>
    <w:p w:rsidR="003F530B" w:rsidRDefault="003F530B" w:rsidP="00E223C8">
      <w:pPr>
        <w:rPr>
          <w:rFonts w:ascii="Times New Roman" w:hAnsi="Times New Roman" w:cs="Times New Roman"/>
          <w:sz w:val="24"/>
        </w:rPr>
      </w:pPr>
      <w:r>
        <w:rPr>
          <w:rFonts w:ascii="Times New Roman" w:hAnsi="Times New Roman" w:cs="Times New Roman"/>
          <w:sz w:val="24"/>
        </w:rPr>
        <w:tab/>
        <w:t xml:space="preserve">The lack of availability of retinol and retinal bionsensors </w:t>
      </w:r>
      <w:r w:rsidR="001700F6">
        <w:rPr>
          <w:rFonts w:ascii="Times New Roman" w:hAnsi="Times New Roman" w:cs="Times New Roman"/>
          <w:sz w:val="24"/>
        </w:rPr>
        <w:t>is crippling to the prospects of this experiment. While it may not have already been investigated, I believe it is possible to synthesize it. Retinol binds to alcohol dehydrogenase (ADH) and retinal binds to Aldehyde dehydrogenase (ALDH)</w:t>
      </w:r>
      <w:r w:rsidR="00255FE1">
        <w:rPr>
          <w:rFonts w:ascii="Times New Roman" w:hAnsi="Times New Roman" w:cs="Times New Roman"/>
          <w:sz w:val="24"/>
        </w:rPr>
        <w:t>. Using a method similar</w:t>
      </w:r>
      <w:r w:rsidR="00214E05">
        <w:rPr>
          <w:rFonts w:ascii="Times New Roman" w:hAnsi="Times New Roman" w:cs="Times New Roman"/>
          <w:sz w:val="24"/>
        </w:rPr>
        <w:t xml:space="preserve"> to that employed by Shimozono et al</w:t>
      </w:r>
      <w:r w:rsidR="00255FE1">
        <w:rPr>
          <w:rFonts w:ascii="Times New Roman" w:hAnsi="Times New Roman" w:cs="Times New Roman"/>
          <w:sz w:val="24"/>
        </w:rPr>
        <w:t xml:space="preserve">, ADH and ALDH could be tagged with a fluorescent marker as well as their substrate, which would result in fluorescence when they </w:t>
      </w:r>
      <w:r w:rsidR="00897593">
        <w:rPr>
          <w:rFonts w:ascii="Times New Roman" w:hAnsi="Times New Roman" w:cs="Times New Roman"/>
          <w:sz w:val="24"/>
        </w:rPr>
        <w:t>came together (</w:t>
      </w:r>
      <w:r w:rsidR="00897593" w:rsidRPr="00897593">
        <w:rPr>
          <w:rFonts w:ascii="Times New Roman" w:hAnsi="Times New Roman" w:cs="Times New Roman"/>
          <w:sz w:val="24"/>
        </w:rPr>
        <w:t>Komatsu</w:t>
      </w:r>
      <w:r w:rsidR="00897593">
        <w:rPr>
          <w:rFonts w:ascii="Times New Roman" w:hAnsi="Times New Roman" w:cs="Times New Roman"/>
          <w:sz w:val="24"/>
        </w:rPr>
        <w:t xml:space="preserve"> et al). However, that would be a resource intensive project on its own, and this study would better be treated as an experiment to allow other, perhaps more enlightening proposals to follow.</w:t>
      </w:r>
    </w:p>
    <w:p w:rsidR="00897593" w:rsidRDefault="00897593" w:rsidP="00E223C8">
      <w:pPr>
        <w:rPr>
          <w:rFonts w:ascii="Times New Roman" w:hAnsi="Times New Roman" w:cs="Times New Roman"/>
          <w:sz w:val="24"/>
        </w:rPr>
      </w:pPr>
      <w:r>
        <w:rPr>
          <w:rFonts w:ascii="Times New Roman" w:hAnsi="Times New Roman" w:cs="Times New Roman"/>
          <w:sz w:val="24"/>
        </w:rPr>
        <w:tab/>
      </w:r>
      <w:r w:rsidR="00214E05">
        <w:rPr>
          <w:rFonts w:ascii="Times New Roman" w:hAnsi="Times New Roman" w:cs="Times New Roman"/>
          <w:sz w:val="24"/>
        </w:rPr>
        <w:t xml:space="preserve">An advantage of the biosensors used by Simozono is that they are rather specific for RA, and are not confused by intracellular levels of retinol and retinal. </w:t>
      </w:r>
      <w:r w:rsidR="00FA228C">
        <w:rPr>
          <w:rFonts w:ascii="Times New Roman" w:hAnsi="Times New Roman" w:cs="Times New Roman"/>
          <w:sz w:val="24"/>
        </w:rPr>
        <w:t>Another advantage of this experiment is that it measures the cellular responses in a time dependent manner, which lends itself for more accurate speculation about molecular mechanisms</w:t>
      </w:r>
      <w:r w:rsidR="000406A4">
        <w:rPr>
          <w:rFonts w:ascii="Times New Roman" w:hAnsi="Times New Roman" w:cs="Times New Roman"/>
          <w:sz w:val="24"/>
        </w:rPr>
        <w:t>. Any of the four stages of the virus could interact with the retinol – retinal – RA signaling axis, so being able to reduce the possibilities into a number that can be tested would greatly improve our cause.</w:t>
      </w:r>
    </w:p>
    <w:p w:rsidR="000406A4" w:rsidRDefault="000406A4" w:rsidP="00E223C8">
      <w:pPr>
        <w:rPr>
          <w:rFonts w:ascii="Times New Roman" w:hAnsi="Times New Roman" w:cs="Times New Roman"/>
          <w:sz w:val="24"/>
        </w:rPr>
      </w:pPr>
      <w:r>
        <w:rPr>
          <w:rFonts w:ascii="Times New Roman" w:hAnsi="Times New Roman" w:cs="Times New Roman"/>
          <w:sz w:val="24"/>
        </w:rPr>
        <w:tab/>
      </w:r>
      <w:r w:rsidR="0098744B">
        <w:rPr>
          <w:rFonts w:ascii="Times New Roman" w:hAnsi="Times New Roman" w:cs="Times New Roman"/>
          <w:sz w:val="24"/>
        </w:rPr>
        <w:t>A drawback to this experimental design, however, is that it offers no</w:t>
      </w:r>
      <w:r w:rsidR="00C21AD0">
        <w:rPr>
          <w:rFonts w:ascii="Times New Roman" w:hAnsi="Times New Roman" w:cs="Times New Roman"/>
          <w:sz w:val="24"/>
        </w:rPr>
        <w:t xml:space="preserve"> insight into the interaction of other viruses with ALDH and related signaling components or how that affects viral replication efficiency. Additionally, extending the results to other cancers would be risk</w:t>
      </w:r>
      <w:r w:rsidR="00E50B62">
        <w:rPr>
          <w:rFonts w:ascii="Times New Roman" w:hAnsi="Times New Roman" w:cs="Times New Roman"/>
          <w:sz w:val="24"/>
        </w:rPr>
        <w:t>y and unwise, as there is no foundational work showing that viral replication is changed in other cancers. This potentially narrows the scope of this experiment to cells expressing ALDH and those that utilize it in a manner similar to the one described above.</w:t>
      </w:r>
    </w:p>
    <w:p w:rsidR="00E50B62" w:rsidRDefault="00E50B62" w:rsidP="00E223C8">
      <w:pPr>
        <w:rPr>
          <w:rFonts w:ascii="Times New Roman" w:hAnsi="Times New Roman" w:cs="Times New Roman"/>
          <w:sz w:val="24"/>
        </w:rPr>
      </w:pPr>
      <w:r>
        <w:rPr>
          <w:rFonts w:ascii="Times New Roman" w:hAnsi="Times New Roman" w:cs="Times New Roman"/>
          <w:sz w:val="24"/>
        </w:rPr>
        <w:tab/>
        <w:t>Fortunately, the above drawbacks are minimal and are cited from a cautious point of view. Biosensors are a very potent tool to assess concentrations of specific molecules within the cells, and can be used to further</w:t>
      </w:r>
      <w:r w:rsidR="00112CD2">
        <w:rPr>
          <w:rFonts w:ascii="Times New Roman" w:hAnsi="Times New Roman" w:cs="Times New Roman"/>
          <w:sz w:val="24"/>
        </w:rPr>
        <w:t xml:space="preserve"> elucidate the mechanisms of interaction between ALDH and related components and viruses. Targeting cancer stem cells may prove to be a powerful new </w:t>
      </w:r>
      <w:r w:rsidR="00112CD2">
        <w:rPr>
          <w:rFonts w:ascii="Times New Roman" w:hAnsi="Times New Roman" w:cs="Times New Roman"/>
          <w:sz w:val="24"/>
        </w:rPr>
        <w:lastRenderedPageBreak/>
        <w:t xml:space="preserve">therapeutic option in order to </w:t>
      </w:r>
      <w:r w:rsidR="009670DE">
        <w:rPr>
          <w:rFonts w:ascii="Times New Roman" w:hAnsi="Times New Roman" w:cs="Times New Roman"/>
          <w:sz w:val="24"/>
        </w:rPr>
        <w:t>destroy hard to kill cancer, and oncolytic viruses may prove to be the tool to do that.</w:t>
      </w:r>
    </w:p>
    <w:p w:rsidR="00646E66" w:rsidRPr="00646E66" w:rsidRDefault="00646E66" w:rsidP="00646E66">
      <w:pPr>
        <w:jc w:val="center"/>
        <w:rPr>
          <w:rFonts w:ascii="Times New Roman" w:hAnsi="Times New Roman" w:cs="Times New Roman"/>
          <w:b/>
          <w:sz w:val="24"/>
        </w:rPr>
      </w:pPr>
      <w:r>
        <w:rPr>
          <w:rFonts w:ascii="Times New Roman" w:hAnsi="Times New Roman" w:cs="Times New Roman"/>
          <w:b/>
          <w:sz w:val="24"/>
        </w:rPr>
        <w:t>Works Cited</w:t>
      </w:r>
      <w:bookmarkStart w:id="0" w:name="_GoBack"/>
      <w:bookmarkEnd w:id="0"/>
    </w:p>
    <w:p w:rsidR="002621A8" w:rsidRPr="002621A8" w:rsidRDefault="002621A8">
      <w:pPr>
        <w:pStyle w:val="NormalWeb"/>
        <w:ind w:left="480" w:hanging="480"/>
        <w:divId w:val="278731864"/>
        <w:rPr>
          <w:noProof/>
        </w:rPr>
      </w:pPr>
      <w:r>
        <w:fldChar w:fldCharType="begin" w:fldLock="1"/>
      </w:r>
      <w:r>
        <w:instrText xml:space="preserve">ADDIN Mendeley Bibliography CSL_BIBLIOGRAPHY </w:instrText>
      </w:r>
      <w:r>
        <w:fldChar w:fldCharType="separate"/>
      </w:r>
      <w:r w:rsidRPr="002621A8">
        <w:rPr>
          <w:noProof/>
        </w:rPr>
        <w:t xml:space="preserve">Dean, M., Fojo, T., &amp; Bates, S. (2005). Tumour stem cells and drug resistance. </w:t>
      </w:r>
      <w:r w:rsidRPr="002621A8">
        <w:rPr>
          <w:i/>
          <w:iCs/>
          <w:noProof/>
        </w:rPr>
        <w:t>Nature Reviews. Cancer</w:t>
      </w:r>
      <w:r w:rsidRPr="002621A8">
        <w:rPr>
          <w:noProof/>
        </w:rPr>
        <w:t xml:space="preserve">, </w:t>
      </w:r>
      <w:r w:rsidRPr="002621A8">
        <w:rPr>
          <w:i/>
          <w:iCs/>
          <w:noProof/>
        </w:rPr>
        <w:t>5</w:t>
      </w:r>
      <w:r w:rsidRPr="002621A8">
        <w:rPr>
          <w:noProof/>
        </w:rPr>
        <w:t>, 275–284. doi:10.1038/nrc1590</w:t>
      </w:r>
    </w:p>
    <w:p w:rsidR="002621A8" w:rsidRPr="002621A8" w:rsidRDefault="002621A8">
      <w:pPr>
        <w:pStyle w:val="NormalWeb"/>
        <w:ind w:left="480" w:hanging="480"/>
        <w:divId w:val="278731864"/>
        <w:rPr>
          <w:noProof/>
        </w:rPr>
      </w:pPr>
      <w:r w:rsidRPr="002621A8">
        <w:rPr>
          <w:noProof/>
        </w:rPr>
        <w:t xml:space="preserve">Ignatova, T. N., Kukekov, V. G., Laywell, E. D., Suslov, O. N., Vrionis, F. D., &amp; Steindler, D. A. (2002). Human cortical glial tumors contain neural stem-like cells expressing astroglial and neuronal markers in vitro. </w:t>
      </w:r>
      <w:r w:rsidRPr="002621A8">
        <w:rPr>
          <w:i/>
          <w:iCs/>
          <w:noProof/>
        </w:rPr>
        <w:t>GLIA</w:t>
      </w:r>
      <w:r w:rsidRPr="002621A8">
        <w:rPr>
          <w:noProof/>
        </w:rPr>
        <w:t xml:space="preserve">, </w:t>
      </w:r>
      <w:r w:rsidRPr="002621A8">
        <w:rPr>
          <w:i/>
          <w:iCs/>
          <w:noProof/>
        </w:rPr>
        <w:t>39</w:t>
      </w:r>
      <w:r w:rsidRPr="002621A8">
        <w:rPr>
          <w:noProof/>
        </w:rPr>
        <w:t>, 193–206. doi:10.1002/glia.10094</w:t>
      </w:r>
    </w:p>
    <w:p w:rsidR="002621A8" w:rsidRPr="002621A8" w:rsidRDefault="002621A8">
      <w:pPr>
        <w:pStyle w:val="NormalWeb"/>
        <w:ind w:left="480" w:hanging="480"/>
        <w:divId w:val="278731864"/>
        <w:rPr>
          <w:noProof/>
        </w:rPr>
      </w:pPr>
      <w:r w:rsidRPr="002621A8">
        <w:rPr>
          <w:noProof/>
        </w:rPr>
        <w:t xml:space="preserve">Komatsu, N., Aoki, K., Yamada, M., Yukinaga, H., Fujita, Y., Kamioka, Y., &amp; Matsuda, M. (2011). Development of an optimized backbone of FRET biosensors for kinases and GTPases. </w:t>
      </w:r>
      <w:r w:rsidRPr="002621A8">
        <w:rPr>
          <w:i/>
          <w:iCs/>
          <w:noProof/>
        </w:rPr>
        <w:t>Molecular Biology of the Cell</w:t>
      </w:r>
      <w:r w:rsidRPr="002621A8">
        <w:rPr>
          <w:noProof/>
        </w:rPr>
        <w:t>. doi:10.1091/mbc.E11-01-0072</w:t>
      </w:r>
    </w:p>
    <w:p w:rsidR="002621A8" w:rsidRPr="002621A8" w:rsidRDefault="002621A8">
      <w:pPr>
        <w:pStyle w:val="NormalWeb"/>
        <w:ind w:left="480" w:hanging="480"/>
        <w:divId w:val="278731864"/>
        <w:rPr>
          <w:noProof/>
        </w:rPr>
      </w:pPr>
      <w:r w:rsidRPr="002621A8">
        <w:rPr>
          <w:noProof/>
        </w:rPr>
        <w:t xml:space="preserve">Ma, I., &amp; Allan, A. L. (2011). The role of human aldehyde dehydrogenase in normal and cancer stem cells. </w:t>
      </w:r>
      <w:r w:rsidRPr="002621A8">
        <w:rPr>
          <w:i/>
          <w:iCs/>
          <w:noProof/>
        </w:rPr>
        <w:t>Stem Cell Reviews</w:t>
      </w:r>
      <w:r w:rsidRPr="002621A8">
        <w:rPr>
          <w:noProof/>
        </w:rPr>
        <w:t xml:space="preserve">, </w:t>
      </w:r>
      <w:r w:rsidRPr="002621A8">
        <w:rPr>
          <w:i/>
          <w:iCs/>
          <w:noProof/>
        </w:rPr>
        <w:t>7</w:t>
      </w:r>
      <w:r w:rsidRPr="002621A8">
        <w:rPr>
          <w:noProof/>
        </w:rPr>
        <w:t>, 292–306. doi:10.1007/s12015-010-9208-4</w:t>
      </w:r>
    </w:p>
    <w:p w:rsidR="002621A8" w:rsidRPr="002621A8" w:rsidRDefault="002621A8">
      <w:pPr>
        <w:pStyle w:val="NormalWeb"/>
        <w:ind w:left="480" w:hanging="480"/>
        <w:divId w:val="278731864"/>
        <w:rPr>
          <w:noProof/>
        </w:rPr>
      </w:pPr>
      <w:r w:rsidRPr="002621A8">
        <w:rPr>
          <w:noProof/>
        </w:rPr>
        <w:t xml:space="preserve">Malik, B. (2012). Cancer stem cells and resistance to chemo and radio therapy. </w:t>
      </w:r>
      <w:r w:rsidRPr="002621A8">
        <w:rPr>
          <w:i/>
          <w:iCs/>
          <w:noProof/>
        </w:rPr>
        <w:t>Frontiers in Bioscience</w:t>
      </w:r>
      <w:r w:rsidRPr="002621A8">
        <w:rPr>
          <w:noProof/>
        </w:rPr>
        <w:t>. doi:10.2741/E531</w:t>
      </w:r>
    </w:p>
    <w:p w:rsidR="002621A8" w:rsidRPr="002621A8" w:rsidRDefault="002621A8">
      <w:pPr>
        <w:pStyle w:val="NormalWeb"/>
        <w:ind w:left="480" w:hanging="480"/>
        <w:divId w:val="278731864"/>
        <w:rPr>
          <w:noProof/>
        </w:rPr>
      </w:pPr>
      <w:r w:rsidRPr="002621A8">
        <w:rPr>
          <w:noProof/>
        </w:rPr>
        <w:t xml:space="preserve">Marcato, P., Dean, C. A., Giacomantonio, C. A., &amp; Lee, P. W. (2011). Aldehyde dehydrogenase: its role as a cancer stem cell marker comes down to the specific isoform. </w:t>
      </w:r>
      <w:r w:rsidRPr="002621A8">
        <w:rPr>
          <w:i/>
          <w:iCs/>
          <w:noProof/>
        </w:rPr>
        <w:t>Cell Cycle</w:t>
      </w:r>
      <w:r w:rsidRPr="002621A8">
        <w:rPr>
          <w:noProof/>
        </w:rPr>
        <w:t xml:space="preserve">, </w:t>
      </w:r>
      <w:r w:rsidRPr="002621A8">
        <w:rPr>
          <w:i/>
          <w:iCs/>
          <w:noProof/>
        </w:rPr>
        <w:t>10</w:t>
      </w:r>
      <w:r w:rsidRPr="002621A8">
        <w:rPr>
          <w:noProof/>
        </w:rPr>
        <w:t>, 1378–1384. doi:10.4161/cc.10.9.15486</w:t>
      </w:r>
    </w:p>
    <w:p w:rsidR="002621A8" w:rsidRPr="002621A8" w:rsidRDefault="002621A8">
      <w:pPr>
        <w:pStyle w:val="NormalWeb"/>
        <w:ind w:left="480" w:hanging="480"/>
        <w:divId w:val="278731864"/>
        <w:rPr>
          <w:noProof/>
        </w:rPr>
      </w:pPr>
      <w:r w:rsidRPr="002621A8">
        <w:rPr>
          <w:noProof/>
        </w:rPr>
        <w:t xml:space="preserve">Okumoto, S., Jones, A., &amp; Frommer, W. B. (2012). Quantitative Imaging with Fluorescent Biosensors. </w:t>
      </w:r>
      <w:r w:rsidRPr="002621A8">
        <w:rPr>
          <w:i/>
          <w:iCs/>
          <w:noProof/>
        </w:rPr>
        <w:t>Annual Review of Plant Biology</w:t>
      </w:r>
      <w:r w:rsidRPr="002621A8">
        <w:rPr>
          <w:noProof/>
        </w:rPr>
        <w:t>. doi:10.1146/annurev-arplant-042110-103745</w:t>
      </w:r>
    </w:p>
    <w:p w:rsidR="002621A8" w:rsidRPr="002621A8" w:rsidRDefault="002621A8">
      <w:pPr>
        <w:pStyle w:val="NormalWeb"/>
        <w:ind w:left="480" w:hanging="480"/>
        <w:divId w:val="278731864"/>
        <w:rPr>
          <w:noProof/>
        </w:rPr>
      </w:pPr>
      <w:r w:rsidRPr="002621A8">
        <w:rPr>
          <w:noProof/>
        </w:rPr>
        <w:t xml:space="preserve">Park, B. H., Hwang, T., Liu, T. C., Sze, D. Y., Kim, J. S., Kwon, H. C., … Kirn, D. H. (2008). Use of a targeted oncolytic poxvirus, JX-594, in patients with refractory primary or metastatic liver cancer: a phase I trial. </w:t>
      </w:r>
      <w:r w:rsidRPr="002621A8">
        <w:rPr>
          <w:i/>
          <w:iCs/>
          <w:noProof/>
        </w:rPr>
        <w:t>The Lancet Oncology</w:t>
      </w:r>
      <w:r w:rsidRPr="002621A8">
        <w:rPr>
          <w:noProof/>
        </w:rPr>
        <w:t xml:space="preserve">, </w:t>
      </w:r>
      <w:r w:rsidRPr="002621A8">
        <w:rPr>
          <w:i/>
          <w:iCs/>
          <w:noProof/>
        </w:rPr>
        <w:t>9</w:t>
      </w:r>
      <w:r w:rsidRPr="002621A8">
        <w:rPr>
          <w:noProof/>
        </w:rPr>
        <w:t>, 533–542. doi:10.1016/S1470-2045(08)70107-4</w:t>
      </w:r>
    </w:p>
    <w:p w:rsidR="002621A8" w:rsidRPr="002621A8" w:rsidRDefault="002621A8">
      <w:pPr>
        <w:pStyle w:val="NormalWeb"/>
        <w:ind w:left="480" w:hanging="480"/>
        <w:divId w:val="278731864"/>
        <w:rPr>
          <w:noProof/>
        </w:rPr>
      </w:pPr>
      <w:r w:rsidRPr="002621A8">
        <w:rPr>
          <w:noProof/>
        </w:rPr>
        <w:t xml:space="preserve">Reya, T., Morrison, S. J., Clarke, M. F., &amp; Weissman, I. L. (2001). Stem cells, cancer, and cancer stem cells. </w:t>
      </w:r>
      <w:r w:rsidRPr="002621A8">
        <w:rPr>
          <w:i/>
          <w:iCs/>
          <w:noProof/>
        </w:rPr>
        <w:t>Nature</w:t>
      </w:r>
      <w:r w:rsidRPr="002621A8">
        <w:rPr>
          <w:noProof/>
        </w:rPr>
        <w:t xml:space="preserve">, </w:t>
      </w:r>
      <w:r w:rsidRPr="002621A8">
        <w:rPr>
          <w:i/>
          <w:iCs/>
          <w:noProof/>
        </w:rPr>
        <w:t>414</w:t>
      </w:r>
      <w:r w:rsidRPr="002621A8">
        <w:rPr>
          <w:noProof/>
        </w:rPr>
        <w:t>, 105–111. doi:10.1038/35102167</w:t>
      </w:r>
    </w:p>
    <w:p w:rsidR="002621A8" w:rsidRPr="002621A8" w:rsidRDefault="002621A8">
      <w:pPr>
        <w:pStyle w:val="NormalWeb"/>
        <w:ind w:left="480" w:hanging="480"/>
        <w:divId w:val="278731864"/>
        <w:rPr>
          <w:noProof/>
        </w:rPr>
      </w:pPr>
      <w:r w:rsidRPr="002621A8">
        <w:rPr>
          <w:noProof/>
        </w:rPr>
        <w:t xml:space="preserve">Shimozono, S., Iimura, T., Kitaguchi, T., Higashijima, S.-I., &amp; Miyawaki, A. (2013). Visualization of an endogenous retinoic acid gradient across embryonic development. </w:t>
      </w:r>
      <w:r w:rsidRPr="002621A8">
        <w:rPr>
          <w:i/>
          <w:iCs/>
          <w:noProof/>
        </w:rPr>
        <w:t>Nature</w:t>
      </w:r>
      <w:r w:rsidRPr="002621A8">
        <w:rPr>
          <w:noProof/>
        </w:rPr>
        <w:t xml:space="preserve">, </w:t>
      </w:r>
      <w:r w:rsidRPr="002621A8">
        <w:rPr>
          <w:i/>
          <w:iCs/>
          <w:noProof/>
        </w:rPr>
        <w:t>496</w:t>
      </w:r>
      <w:r w:rsidRPr="002621A8">
        <w:rPr>
          <w:noProof/>
        </w:rPr>
        <w:t>, 363–6. doi:10.1038/nature12037</w:t>
      </w:r>
    </w:p>
    <w:p w:rsidR="002621A8" w:rsidRPr="002621A8" w:rsidRDefault="002621A8">
      <w:pPr>
        <w:pStyle w:val="NormalWeb"/>
        <w:ind w:left="480" w:hanging="480"/>
        <w:divId w:val="278731864"/>
        <w:rPr>
          <w:noProof/>
        </w:rPr>
      </w:pPr>
      <w:r w:rsidRPr="002621A8">
        <w:rPr>
          <w:noProof/>
        </w:rPr>
        <w:t xml:space="preserve">Siegel, R., Ma, J., Zou, Z., &amp; Jemal, A. (2014). Cancer statistics, 2014. </w:t>
      </w:r>
      <w:r w:rsidRPr="002621A8">
        <w:rPr>
          <w:i/>
          <w:iCs/>
          <w:noProof/>
        </w:rPr>
        <w:t>CA: A Cancer Journal for Clinicians</w:t>
      </w:r>
      <w:r w:rsidRPr="002621A8">
        <w:rPr>
          <w:noProof/>
        </w:rPr>
        <w:t xml:space="preserve">, </w:t>
      </w:r>
      <w:r w:rsidRPr="002621A8">
        <w:rPr>
          <w:i/>
          <w:iCs/>
          <w:noProof/>
        </w:rPr>
        <w:t>64</w:t>
      </w:r>
      <w:r w:rsidRPr="002621A8">
        <w:rPr>
          <w:noProof/>
        </w:rPr>
        <w:t>, 9–29. doi:10.3322/caac.21208</w:t>
      </w:r>
    </w:p>
    <w:p w:rsidR="002621A8" w:rsidRPr="002621A8" w:rsidRDefault="002621A8">
      <w:pPr>
        <w:pStyle w:val="NormalWeb"/>
        <w:ind w:left="480" w:hanging="480"/>
        <w:divId w:val="278731864"/>
        <w:rPr>
          <w:noProof/>
        </w:rPr>
      </w:pPr>
      <w:r w:rsidRPr="002621A8">
        <w:rPr>
          <w:noProof/>
        </w:rPr>
        <w:t xml:space="preserve">Sinkovics, J., &amp; Horváth, J. (2008). Oncolytic virotherapy. </w:t>
      </w:r>
      <w:r w:rsidRPr="002621A8">
        <w:rPr>
          <w:i/>
          <w:iCs/>
          <w:noProof/>
        </w:rPr>
        <w:t>Orvosi Hetilap</w:t>
      </w:r>
      <w:r w:rsidRPr="002621A8">
        <w:rPr>
          <w:noProof/>
        </w:rPr>
        <w:t>. doi:10.1038/nbt.2287</w:t>
      </w:r>
    </w:p>
    <w:p w:rsidR="002621A8" w:rsidRPr="002621A8" w:rsidRDefault="002621A8">
      <w:pPr>
        <w:pStyle w:val="NormalWeb"/>
        <w:ind w:left="480" w:hanging="480"/>
        <w:divId w:val="278731864"/>
        <w:rPr>
          <w:noProof/>
        </w:rPr>
      </w:pPr>
      <w:r w:rsidRPr="002621A8">
        <w:rPr>
          <w:noProof/>
        </w:rPr>
        <w:lastRenderedPageBreak/>
        <w:t xml:space="preserve">Smith, T. T., Roth, J. C., Friedman, G. K., &amp; Gillespie, G. Y. (2014). Oncolytic viral therapy: targeting cancer stem cells. </w:t>
      </w:r>
      <w:r w:rsidRPr="002621A8">
        <w:rPr>
          <w:i/>
          <w:iCs/>
          <w:noProof/>
        </w:rPr>
        <w:t>Oncolytic Virotherapy</w:t>
      </w:r>
      <w:r w:rsidRPr="002621A8">
        <w:rPr>
          <w:noProof/>
        </w:rPr>
        <w:t xml:space="preserve">, </w:t>
      </w:r>
      <w:r w:rsidRPr="002621A8">
        <w:rPr>
          <w:i/>
          <w:iCs/>
          <w:noProof/>
        </w:rPr>
        <w:t>2014</w:t>
      </w:r>
      <w:r w:rsidRPr="002621A8">
        <w:rPr>
          <w:noProof/>
        </w:rPr>
        <w:t>, 21–33. doi:10.2147/OV.S52749</w:t>
      </w:r>
    </w:p>
    <w:p w:rsidR="002621A8" w:rsidRPr="002621A8" w:rsidRDefault="002621A8">
      <w:pPr>
        <w:pStyle w:val="NormalWeb"/>
        <w:ind w:left="480" w:hanging="480"/>
        <w:divId w:val="278731864"/>
        <w:rPr>
          <w:noProof/>
        </w:rPr>
      </w:pPr>
      <w:r w:rsidRPr="002621A8">
        <w:rPr>
          <w:noProof/>
        </w:rPr>
        <w:t xml:space="preserve">Sze, D. Y., Reid, T. R., &amp; Rose, S. C. (2013). Oncolytic virotherapy. </w:t>
      </w:r>
      <w:r w:rsidRPr="002621A8">
        <w:rPr>
          <w:i/>
          <w:iCs/>
          <w:noProof/>
        </w:rPr>
        <w:t>Journal of Vascular and Interventional Radiology</w:t>
      </w:r>
      <w:r w:rsidRPr="002621A8">
        <w:rPr>
          <w:noProof/>
        </w:rPr>
        <w:t>. doi:10.1016/j.jvir.2013.05.040</w:t>
      </w:r>
    </w:p>
    <w:p w:rsidR="002621A8" w:rsidRPr="002621A8" w:rsidRDefault="002621A8">
      <w:pPr>
        <w:pStyle w:val="NormalWeb"/>
        <w:ind w:left="480" w:hanging="480"/>
        <w:divId w:val="278731864"/>
        <w:rPr>
          <w:noProof/>
        </w:rPr>
      </w:pPr>
      <w:r w:rsidRPr="002621A8">
        <w:rPr>
          <w:noProof/>
        </w:rPr>
        <w:t xml:space="preserve">Wang, H., Chen, N. G., Minev, B. R., &amp; Szalay, A. A. (2012). Oncolytic vaccinia virus GLV-1h68 strain shows enhanced replication in human breast cancer stem-like cells in comparison to breast cancer cells. </w:t>
      </w:r>
      <w:r w:rsidRPr="002621A8">
        <w:rPr>
          <w:i/>
          <w:iCs/>
          <w:noProof/>
        </w:rPr>
        <w:t>Journal of Translational Medicine</w:t>
      </w:r>
      <w:r w:rsidRPr="002621A8">
        <w:rPr>
          <w:noProof/>
        </w:rPr>
        <w:t>. doi:10.1186/1479-5876-10-167</w:t>
      </w:r>
    </w:p>
    <w:p w:rsidR="002621A8" w:rsidRPr="003F530B" w:rsidRDefault="002621A8" w:rsidP="002621A8">
      <w:pPr>
        <w:pStyle w:val="NormalWeb"/>
      </w:pPr>
      <w:r>
        <w:fldChar w:fldCharType="end"/>
      </w:r>
    </w:p>
    <w:sectPr w:rsidR="002621A8" w:rsidRPr="003F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87"/>
    <w:multiLevelType w:val="hybridMultilevel"/>
    <w:tmpl w:val="078016CC"/>
    <w:lvl w:ilvl="0" w:tplc="9228B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1158"/>
    <w:multiLevelType w:val="hybridMultilevel"/>
    <w:tmpl w:val="ED14A7CA"/>
    <w:lvl w:ilvl="0" w:tplc="034E2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E3D7D"/>
    <w:multiLevelType w:val="hybridMultilevel"/>
    <w:tmpl w:val="78283AEA"/>
    <w:lvl w:ilvl="0" w:tplc="17F6A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62620"/>
    <w:multiLevelType w:val="hybridMultilevel"/>
    <w:tmpl w:val="2DAA4016"/>
    <w:lvl w:ilvl="0" w:tplc="46FCC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CC"/>
    <w:rsid w:val="00004B58"/>
    <w:rsid w:val="000211CC"/>
    <w:rsid w:val="00034D71"/>
    <w:rsid w:val="000361A1"/>
    <w:rsid w:val="000406A4"/>
    <w:rsid w:val="000B24F8"/>
    <w:rsid w:val="000C2D1A"/>
    <w:rsid w:val="000C4220"/>
    <w:rsid w:val="000D4FBB"/>
    <w:rsid w:val="000E1797"/>
    <w:rsid w:val="000E1CE4"/>
    <w:rsid w:val="000E4465"/>
    <w:rsid w:val="000F7F8E"/>
    <w:rsid w:val="0010336A"/>
    <w:rsid w:val="00111A49"/>
    <w:rsid w:val="001120FA"/>
    <w:rsid w:val="00112CD2"/>
    <w:rsid w:val="00164FE8"/>
    <w:rsid w:val="001700F6"/>
    <w:rsid w:val="001707B6"/>
    <w:rsid w:val="00196E1C"/>
    <w:rsid w:val="001A12BE"/>
    <w:rsid w:val="001A5B72"/>
    <w:rsid w:val="001C25A9"/>
    <w:rsid w:val="00200A57"/>
    <w:rsid w:val="00214E05"/>
    <w:rsid w:val="00227C13"/>
    <w:rsid w:val="00236BFF"/>
    <w:rsid w:val="00255FE1"/>
    <w:rsid w:val="002621A8"/>
    <w:rsid w:val="0028575E"/>
    <w:rsid w:val="002911B6"/>
    <w:rsid w:val="00296862"/>
    <w:rsid w:val="002E79E5"/>
    <w:rsid w:val="00306ED4"/>
    <w:rsid w:val="00307F21"/>
    <w:rsid w:val="00350241"/>
    <w:rsid w:val="003546DC"/>
    <w:rsid w:val="00376236"/>
    <w:rsid w:val="003909EF"/>
    <w:rsid w:val="003D1D77"/>
    <w:rsid w:val="003D2BB6"/>
    <w:rsid w:val="003F2543"/>
    <w:rsid w:val="003F530B"/>
    <w:rsid w:val="00472942"/>
    <w:rsid w:val="00476F01"/>
    <w:rsid w:val="004949CD"/>
    <w:rsid w:val="004A0F06"/>
    <w:rsid w:val="004A5BBD"/>
    <w:rsid w:val="004A6FC1"/>
    <w:rsid w:val="004D69EA"/>
    <w:rsid w:val="004E64AA"/>
    <w:rsid w:val="00504570"/>
    <w:rsid w:val="00504C10"/>
    <w:rsid w:val="00515A9A"/>
    <w:rsid w:val="00535DA2"/>
    <w:rsid w:val="00562874"/>
    <w:rsid w:val="005A341B"/>
    <w:rsid w:val="005A78B4"/>
    <w:rsid w:val="005B6001"/>
    <w:rsid w:val="005E1676"/>
    <w:rsid w:val="006123AC"/>
    <w:rsid w:val="006361E3"/>
    <w:rsid w:val="00640E6B"/>
    <w:rsid w:val="0064543F"/>
    <w:rsid w:val="00646E66"/>
    <w:rsid w:val="00654525"/>
    <w:rsid w:val="00662D8B"/>
    <w:rsid w:val="00677555"/>
    <w:rsid w:val="006841B1"/>
    <w:rsid w:val="006C595B"/>
    <w:rsid w:val="00743F91"/>
    <w:rsid w:val="0076765B"/>
    <w:rsid w:val="007B7C5D"/>
    <w:rsid w:val="007D51FD"/>
    <w:rsid w:val="0089627E"/>
    <w:rsid w:val="008963FE"/>
    <w:rsid w:val="00897593"/>
    <w:rsid w:val="008A11F1"/>
    <w:rsid w:val="008B2145"/>
    <w:rsid w:val="008B543A"/>
    <w:rsid w:val="008C4DC3"/>
    <w:rsid w:val="008E0550"/>
    <w:rsid w:val="008F1BD9"/>
    <w:rsid w:val="008F4CF7"/>
    <w:rsid w:val="00901D57"/>
    <w:rsid w:val="00906712"/>
    <w:rsid w:val="009670DE"/>
    <w:rsid w:val="00984502"/>
    <w:rsid w:val="0098744B"/>
    <w:rsid w:val="009A322E"/>
    <w:rsid w:val="00A00302"/>
    <w:rsid w:val="00A34FF8"/>
    <w:rsid w:val="00A411D7"/>
    <w:rsid w:val="00A57148"/>
    <w:rsid w:val="00A65C2F"/>
    <w:rsid w:val="00A71A7B"/>
    <w:rsid w:val="00A773C2"/>
    <w:rsid w:val="00A92170"/>
    <w:rsid w:val="00AC0248"/>
    <w:rsid w:val="00AC21F9"/>
    <w:rsid w:val="00AC6477"/>
    <w:rsid w:val="00AE64CC"/>
    <w:rsid w:val="00AF2AD8"/>
    <w:rsid w:val="00B042C1"/>
    <w:rsid w:val="00B05AA6"/>
    <w:rsid w:val="00B263F0"/>
    <w:rsid w:val="00B32DBD"/>
    <w:rsid w:val="00B372BA"/>
    <w:rsid w:val="00B448E7"/>
    <w:rsid w:val="00B45B5D"/>
    <w:rsid w:val="00B75098"/>
    <w:rsid w:val="00BA53BE"/>
    <w:rsid w:val="00BC4565"/>
    <w:rsid w:val="00BE67D4"/>
    <w:rsid w:val="00BF549F"/>
    <w:rsid w:val="00C2076B"/>
    <w:rsid w:val="00C21AD0"/>
    <w:rsid w:val="00C34F2E"/>
    <w:rsid w:val="00C37090"/>
    <w:rsid w:val="00C51902"/>
    <w:rsid w:val="00C60804"/>
    <w:rsid w:val="00C8790C"/>
    <w:rsid w:val="00CA4407"/>
    <w:rsid w:val="00CB2038"/>
    <w:rsid w:val="00CB25E2"/>
    <w:rsid w:val="00CB48FF"/>
    <w:rsid w:val="00CC1DE8"/>
    <w:rsid w:val="00CC6EFF"/>
    <w:rsid w:val="00CF0A56"/>
    <w:rsid w:val="00D522F3"/>
    <w:rsid w:val="00D57431"/>
    <w:rsid w:val="00D85878"/>
    <w:rsid w:val="00DD5B44"/>
    <w:rsid w:val="00E10FC3"/>
    <w:rsid w:val="00E223C8"/>
    <w:rsid w:val="00E245B3"/>
    <w:rsid w:val="00E42E4C"/>
    <w:rsid w:val="00E47062"/>
    <w:rsid w:val="00E50B62"/>
    <w:rsid w:val="00E54685"/>
    <w:rsid w:val="00E849B3"/>
    <w:rsid w:val="00EA3A83"/>
    <w:rsid w:val="00EA6B96"/>
    <w:rsid w:val="00EB35EC"/>
    <w:rsid w:val="00EC4EED"/>
    <w:rsid w:val="00ED4A5E"/>
    <w:rsid w:val="00EE25BA"/>
    <w:rsid w:val="00EE66BB"/>
    <w:rsid w:val="00EF2820"/>
    <w:rsid w:val="00EF3111"/>
    <w:rsid w:val="00EF67BA"/>
    <w:rsid w:val="00F17B31"/>
    <w:rsid w:val="00F42E04"/>
    <w:rsid w:val="00F52E79"/>
    <w:rsid w:val="00F8249C"/>
    <w:rsid w:val="00FA228C"/>
    <w:rsid w:val="00FA33AB"/>
    <w:rsid w:val="00FC1C34"/>
    <w:rsid w:val="00FD6ADB"/>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91"/>
    <w:pPr>
      <w:ind w:left="720"/>
      <w:contextualSpacing/>
    </w:pPr>
  </w:style>
  <w:style w:type="paragraph" w:styleId="BalloonText">
    <w:name w:val="Balloon Text"/>
    <w:basedOn w:val="Normal"/>
    <w:link w:val="BalloonTextChar"/>
    <w:uiPriority w:val="99"/>
    <w:semiHidden/>
    <w:unhideWhenUsed/>
    <w:rsid w:val="0047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01"/>
    <w:rPr>
      <w:rFonts w:ascii="Tahoma" w:hAnsi="Tahoma" w:cs="Tahoma"/>
      <w:sz w:val="16"/>
      <w:szCs w:val="16"/>
    </w:rPr>
  </w:style>
  <w:style w:type="paragraph" w:styleId="Caption">
    <w:name w:val="caption"/>
    <w:basedOn w:val="Normal"/>
    <w:next w:val="Normal"/>
    <w:uiPriority w:val="35"/>
    <w:unhideWhenUsed/>
    <w:qFormat/>
    <w:rsid w:val="00476F01"/>
    <w:pPr>
      <w:spacing w:line="240" w:lineRule="auto"/>
    </w:pPr>
    <w:rPr>
      <w:b/>
      <w:bCs/>
      <w:color w:val="4F81BD" w:themeColor="accent1"/>
      <w:sz w:val="18"/>
      <w:szCs w:val="18"/>
    </w:rPr>
  </w:style>
  <w:style w:type="paragraph" w:styleId="NormalWeb">
    <w:name w:val="Normal (Web)"/>
    <w:basedOn w:val="Normal"/>
    <w:uiPriority w:val="99"/>
    <w:unhideWhenUsed/>
    <w:rsid w:val="002621A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91"/>
    <w:pPr>
      <w:ind w:left="720"/>
      <w:contextualSpacing/>
    </w:pPr>
  </w:style>
  <w:style w:type="paragraph" w:styleId="BalloonText">
    <w:name w:val="Balloon Text"/>
    <w:basedOn w:val="Normal"/>
    <w:link w:val="BalloonTextChar"/>
    <w:uiPriority w:val="99"/>
    <w:semiHidden/>
    <w:unhideWhenUsed/>
    <w:rsid w:val="0047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01"/>
    <w:rPr>
      <w:rFonts w:ascii="Tahoma" w:hAnsi="Tahoma" w:cs="Tahoma"/>
      <w:sz w:val="16"/>
      <w:szCs w:val="16"/>
    </w:rPr>
  </w:style>
  <w:style w:type="paragraph" w:styleId="Caption">
    <w:name w:val="caption"/>
    <w:basedOn w:val="Normal"/>
    <w:next w:val="Normal"/>
    <w:uiPriority w:val="35"/>
    <w:unhideWhenUsed/>
    <w:qFormat/>
    <w:rsid w:val="00476F01"/>
    <w:pPr>
      <w:spacing w:line="240" w:lineRule="auto"/>
    </w:pPr>
    <w:rPr>
      <w:b/>
      <w:bCs/>
      <w:color w:val="4F81BD" w:themeColor="accent1"/>
      <w:sz w:val="18"/>
      <w:szCs w:val="18"/>
    </w:rPr>
  </w:style>
  <w:style w:type="paragraph" w:styleId="NormalWeb">
    <w:name w:val="Normal (Web)"/>
    <w:basedOn w:val="Normal"/>
    <w:uiPriority w:val="99"/>
    <w:unhideWhenUsed/>
    <w:rsid w:val="002621A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1864">
      <w:bodyDiv w:val="1"/>
      <w:marLeft w:val="0"/>
      <w:marRight w:val="0"/>
      <w:marTop w:val="0"/>
      <w:marBottom w:val="0"/>
      <w:divBdr>
        <w:top w:val="none" w:sz="0" w:space="0" w:color="auto"/>
        <w:left w:val="none" w:sz="0" w:space="0" w:color="auto"/>
        <w:bottom w:val="none" w:sz="0" w:space="0" w:color="auto"/>
        <w:right w:val="none" w:sz="0" w:space="0" w:color="auto"/>
      </w:divBdr>
    </w:div>
    <w:div w:id="883103118">
      <w:bodyDiv w:val="1"/>
      <w:marLeft w:val="0"/>
      <w:marRight w:val="0"/>
      <w:marTop w:val="0"/>
      <w:marBottom w:val="0"/>
      <w:divBdr>
        <w:top w:val="none" w:sz="0" w:space="0" w:color="auto"/>
        <w:left w:val="none" w:sz="0" w:space="0" w:color="auto"/>
        <w:bottom w:val="none" w:sz="0" w:space="0" w:color="auto"/>
        <w:right w:val="none" w:sz="0" w:space="0" w:color="auto"/>
      </w:divBdr>
    </w:div>
    <w:div w:id="1453287005">
      <w:bodyDiv w:val="1"/>
      <w:marLeft w:val="0"/>
      <w:marRight w:val="0"/>
      <w:marTop w:val="0"/>
      <w:marBottom w:val="0"/>
      <w:divBdr>
        <w:top w:val="none" w:sz="0" w:space="0" w:color="auto"/>
        <w:left w:val="none" w:sz="0" w:space="0" w:color="auto"/>
        <w:bottom w:val="none" w:sz="0" w:space="0" w:color="auto"/>
        <w:right w:val="none" w:sz="0" w:space="0" w:color="auto"/>
      </w:divBdr>
    </w:div>
    <w:div w:id="18990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318EF5-C665-415B-B4FA-CAB09BF3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 Elsarrag</dc:creator>
  <cp:lastModifiedBy>Zaki Elsarrag</cp:lastModifiedBy>
  <cp:revision>14</cp:revision>
  <dcterms:created xsi:type="dcterms:W3CDTF">2014-11-30T02:37:00Z</dcterms:created>
  <dcterms:modified xsi:type="dcterms:W3CDTF">2014-11-30T13:07:00Z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mazelsarrag@gmail.com@www.mendeley.com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