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91" w:rsidRPr="00032BB2" w:rsidRDefault="00F64C07" w:rsidP="00415391">
      <w:pPr>
        <w:jc w:val="center"/>
        <w:rPr>
          <w:rFonts w:ascii="Calibri" w:hAnsi="Calibri" w:cs="Times New Roman"/>
          <w:b/>
          <w:sz w:val="24"/>
          <w:szCs w:val="24"/>
        </w:rPr>
      </w:pPr>
      <w:r w:rsidRPr="00032BB2">
        <w:rPr>
          <w:rFonts w:ascii="Calibri" w:hAnsi="Calibri" w:cs="Times New Roman"/>
          <w:b/>
          <w:sz w:val="24"/>
          <w:szCs w:val="24"/>
        </w:rPr>
        <w:t xml:space="preserve">The Effects of </w:t>
      </w:r>
      <w:r w:rsidR="00D05239" w:rsidRPr="00032BB2">
        <w:rPr>
          <w:rFonts w:ascii="Calibri" w:hAnsi="Calibri" w:cs="Times New Roman"/>
          <w:b/>
          <w:sz w:val="24"/>
          <w:szCs w:val="24"/>
        </w:rPr>
        <w:t>Increased Net Reactive Oxygen Species</w:t>
      </w:r>
      <w:r w:rsidR="00177EAC" w:rsidRPr="00032BB2">
        <w:rPr>
          <w:rFonts w:ascii="Calibri" w:hAnsi="Calibri" w:cs="Times New Roman"/>
          <w:b/>
          <w:sz w:val="24"/>
          <w:szCs w:val="24"/>
        </w:rPr>
        <w:t xml:space="preserve"> on </w:t>
      </w:r>
      <w:proofErr w:type="spellStart"/>
      <w:r w:rsidR="00177EAC" w:rsidRPr="00032BB2">
        <w:rPr>
          <w:rFonts w:ascii="Calibri" w:hAnsi="Calibri" w:cs="Times New Roman"/>
          <w:b/>
          <w:sz w:val="24"/>
          <w:szCs w:val="24"/>
        </w:rPr>
        <w:t>Mitophagy</w:t>
      </w:r>
      <w:proofErr w:type="spellEnd"/>
    </w:p>
    <w:p w:rsidR="00415391" w:rsidRPr="00032BB2" w:rsidRDefault="00415391" w:rsidP="00D05239">
      <w:pPr>
        <w:pStyle w:val="ListParagraph"/>
        <w:numPr>
          <w:ilvl w:val="0"/>
          <w:numId w:val="2"/>
        </w:numPr>
        <w:rPr>
          <w:rFonts w:ascii="Calibri" w:hAnsi="Calibri" w:cs="Times New Roman"/>
          <w:b/>
          <w:sz w:val="24"/>
          <w:szCs w:val="24"/>
        </w:rPr>
      </w:pPr>
      <w:r w:rsidRPr="00032BB2">
        <w:rPr>
          <w:rFonts w:ascii="Calibri" w:hAnsi="Calibri" w:cs="Times New Roman"/>
          <w:b/>
          <w:sz w:val="24"/>
          <w:szCs w:val="24"/>
        </w:rPr>
        <w:t>Introduction</w:t>
      </w:r>
      <w:bookmarkStart w:id="0" w:name="_GoBack"/>
      <w:bookmarkEnd w:id="0"/>
    </w:p>
    <w:p w:rsidR="003F4256" w:rsidRPr="00032BB2" w:rsidRDefault="00D41278" w:rsidP="003F4256">
      <w:pPr>
        <w:spacing w:line="240" w:lineRule="auto"/>
        <w:rPr>
          <w:rFonts w:ascii="Calibri" w:hAnsi="Calibri" w:cs="Times New Roman"/>
          <w:sz w:val="24"/>
          <w:szCs w:val="24"/>
        </w:rPr>
      </w:pPr>
      <w:r w:rsidRPr="00032BB2">
        <w:rPr>
          <w:rFonts w:ascii="Calibri" w:hAnsi="Calibri" w:cs="Times New Roman"/>
          <w:sz w:val="24"/>
          <w:szCs w:val="24"/>
        </w:rPr>
        <w:t xml:space="preserve">As the global human population continues to age and live longer lives, both developed and developing countries have begun to feel the negative impact of neurological disorders. </w:t>
      </w:r>
      <w:r w:rsidR="000F1065" w:rsidRPr="00032BB2">
        <w:rPr>
          <w:rFonts w:ascii="Calibri" w:hAnsi="Calibri" w:cs="Times New Roman"/>
          <w:sz w:val="24"/>
          <w:szCs w:val="24"/>
        </w:rPr>
        <w:t xml:space="preserve">According to the National Institute of Health, 1 in 7 people in the United States will develop dementia or some form of neurodegenerative disease once they reach 70 years old. </w:t>
      </w:r>
      <w:r w:rsidR="0055629E" w:rsidRPr="00032BB2">
        <w:rPr>
          <w:rFonts w:ascii="Calibri" w:hAnsi="Calibri" w:cs="Times New Roman"/>
          <w:sz w:val="24"/>
          <w:szCs w:val="24"/>
        </w:rPr>
        <w:t>Therefore, there has been a gro</w:t>
      </w:r>
      <w:r w:rsidR="000F1065" w:rsidRPr="00032BB2">
        <w:rPr>
          <w:rFonts w:ascii="Calibri" w:hAnsi="Calibri" w:cs="Times New Roman"/>
          <w:sz w:val="24"/>
          <w:szCs w:val="24"/>
        </w:rPr>
        <w:t>wing interest in this field</w:t>
      </w:r>
      <w:r w:rsidR="0055629E" w:rsidRPr="00032BB2">
        <w:rPr>
          <w:rFonts w:ascii="Calibri" w:hAnsi="Calibri" w:cs="Times New Roman"/>
          <w:sz w:val="24"/>
          <w:szCs w:val="24"/>
        </w:rPr>
        <w:t xml:space="preserve">. </w:t>
      </w:r>
      <w:r w:rsidRPr="00032BB2">
        <w:rPr>
          <w:rFonts w:ascii="Calibri" w:hAnsi="Calibri" w:cs="Times New Roman"/>
          <w:sz w:val="24"/>
          <w:szCs w:val="24"/>
        </w:rPr>
        <w:t>These disorders are an epidemic that ignore race, ag</w:t>
      </w:r>
      <w:r w:rsidR="006C67BC" w:rsidRPr="00032BB2">
        <w:rPr>
          <w:rFonts w:ascii="Calibri" w:hAnsi="Calibri" w:cs="Times New Roman"/>
          <w:sz w:val="24"/>
          <w:szCs w:val="24"/>
        </w:rPr>
        <w:t xml:space="preserve">e, education, income, and sex. </w:t>
      </w:r>
    </w:p>
    <w:p w:rsidR="005F09E3" w:rsidRPr="00032BB2" w:rsidRDefault="009E5F5E" w:rsidP="00415391">
      <w:pPr>
        <w:rPr>
          <w:rFonts w:ascii="Calibri" w:hAnsi="Calibri" w:cs="Times New Roman"/>
          <w:sz w:val="24"/>
          <w:szCs w:val="24"/>
        </w:rPr>
      </w:pPr>
      <w:r w:rsidRPr="00032BB2">
        <w:rPr>
          <w:rFonts w:ascii="Calibri" w:hAnsi="Calibri" w:cs="Times New Roman"/>
          <w:sz w:val="24"/>
          <w:szCs w:val="24"/>
        </w:rPr>
        <w:t xml:space="preserve">Reddy et al (2013) speculated that alcohol-induced oxidative stress can alter the brain mitochondria. </w:t>
      </w:r>
      <w:r w:rsidR="00C71AB7" w:rsidRPr="00032BB2">
        <w:rPr>
          <w:rFonts w:ascii="Calibri" w:hAnsi="Calibri" w:cs="Times New Roman"/>
          <w:sz w:val="24"/>
          <w:szCs w:val="24"/>
        </w:rPr>
        <w:t>Reactive oxygen species (ROS) are natural by-products of mitochondria in cells when producing energy. ROS can damage proteins, mitochondria, and DNA. If these damaged structures are not disposed of, they can accumulate and cause cellular dysfunction</w:t>
      </w:r>
      <w:r w:rsidR="00F51ECF" w:rsidRPr="00032BB2">
        <w:rPr>
          <w:rFonts w:ascii="Calibri" w:hAnsi="Calibri" w:cs="Times New Roman"/>
          <w:sz w:val="24"/>
          <w:szCs w:val="24"/>
        </w:rPr>
        <w:t xml:space="preserve"> or even death</w:t>
      </w:r>
      <w:r w:rsidR="00C71AB7" w:rsidRPr="00032BB2">
        <w:rPr>
          <w:rFonts w:ascii="Calibri" w:hAnsi="Calibri" w:cs="Times New Roman"/>
          <w:sz w:val="24"/>
          <w:szCs w:val="24"/>
        </w:rPr>
        <w:t xml:space="preserve">. The key feature of </w:t>
      </w:r>
      <w:proofErr w:type="spellStart"/>
      <w:r w:rsidR="00C71AB7" w:rsidRPr="00032BB2">
        <w:rPr>
          <w:rFonts w:ascii="Calibri" w:hAnsi="Calibri" w:cs="Times New Roman"/>
          <w:sz w:val="24"/>
          <w:szCs w:val="24"/>
        </w:rPr>
        <w:t>neurodegeneration</w:t>
      </w:r>
      <w:proofErr w:type="spellEnd"/>
      <w:r w:rsidR="00C71AB7" w:rsidRPr="00032BB2">
        <w:rPr>
          <w:rFonts w:ascii="Calibri" w:hAnsi="Calibri" w:cs="Times New Roman"/>
          <w:sz w:val="24"/>
          <w:szCs w:val="24"/>
        </w:rPr>
        <w:t xml:space="preserve"> is the lack of dysfunctional mitochondria being disposed of properly.</w:t>
      </w:r>
    </w:p>
    <w:p w:rsidR="005F09E3" w:rsidRPr="00032BB2" w:rsidRDefault="00D21A98" w:rsidP="00415391">
      <w:pPr>
        <w:rPr>
          <w:rFonts w:ascii="Calibri" w:hAnsi="Calibri" w:cs="Times New Roman"/>
          <w:sz w:val="24"/>
          <w:szCs w:val="24"/>
        </w:rPr>
      </w:pPr>
      <w:r w:rsidRPr="00032BB2">
        <w:rPr>
          <w:rFonts w:ascii="Calibri" w:hAnsi="Calibr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459D73" wp14:editId="54B610AE">
                <wp:simplePos x="0" y="0"/>
                <wp:positionH relativeFrom="margin">
                  <wp:align>right</wp:align>
                </wp:positionH>
                <wp:positionV relativeFrom="paragraph">
                  <wp:posOffset>2008505</wp:posOffset>
                </wp:positionV>
                <wp:extent cx="1935480" cy="5715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E39" w:rsidRPr="00D338DA" w:rsidRDefault="001B6E3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338D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Figure 1: Overview of </w:t>
                            </w:r>
                            <w:proofErr w:type="spellStart"/>
                            <w:r w:rsidRPr="00D338DA">
                              <w:rPr>
                                <w:b/>
                                <w:sz w:val="18"/>
                                <w:szCs w:val="18"/>
                              </w:rPr>
                              <w:t>Mitophagy</w:t>
                            </w:r>
                            <w:proofErr w:type="spellEnd"/>
                            <w:r w:rsidRPr="00D338D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Mechanism. </w:t>
                            </w:r>
                            <w:r w:rsidR="00775AC8">
                              <w:rPr>
                                <w:b/>
                                <w:sz w:val="18"/>
                                <w:szCs w:val="18"/>
                              </w:rPr>
                              <w:t>Adapted from Figure 6 of Ref Aoki et al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59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pt;margin-top:158.15pt;width:152.4pt;height:4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">
                <v:textbox>
                  <w:txbxContent>
                    <w:p w:rsidR="001B6E39" w:rsidRPr="00D338DA" w:rsidRDefault="001B6E3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338DA">
                        <w:rPr>
                          <w:b/>
                          <w:sz w:val="18"/>
                          <w:szCs w:val="18"/>
                        </w:rPr>
                        <w:t xml:space="preserve">Figure 1: Overview of </w:t>
                      </w:r>
                      <w:proofErr w:type="spellStart"/>
                      <w:r w:rsidRPr="00D338DA">
                        <w:rPr>
                          <w:b/>
                          <w:sz w:val="18"/>
                          <w:szCs w:val="18"/>
                        </w:rPr>
                        <w:t>Mitophagy</w:t>
                      </w:r>
                      <w:proofErr w:type="spellEnd"/>
                      <w:r w:rsidRPr="00D338DA">
                        <w:rPr>
                          <w:b/>
                          <w:sz w:val="18"/>
                          <w:szCs w:val="18"/>
                        </w:rPr>
                        <w:t xml:space="preserve"> Mechanism. </w:t>
                      </w:r>
                      <w:r w:rsidR="00775AC8">
                        <w:rPr>
                          <w:b/>
                          <w:sz w:val="18"/>
                          <w:szCs w:val="18"/>
                        </w:rPr>
                        <w:t>Adapted from Figure 6 of Ref Aoki et al 2011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2FF7" w:rsidRPr="00032BB2">
        <w:rPr>
          <w:rFonts w:ascii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AA36E85" wp14:editId="2AD3A608">
            <wp:simplePos x="0" y="0"/>
            <wp:positionH relativeFrom="margin">
              <wp:align>right</wp:align>
            </wp:positionH>
            <wp:positionV relativeFrom="paragraph">
              <wp:posOffset>370840</wp:posOffset>
            </wp:positionV>
            <wp:extent cx="297751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20" y="21323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9E3" w:rsidRPr="00032BB2">
        <w:rPr>
          <w:rFonts w:ascii="Calibri" w:hAnsi="Calibri" w:cs="Times New Roman"/>
          <w:sz w:val="24"/>
          <w:szCs w:val="24"/>
        </w:rPr>
        <w:t>Ce</w:t>
      </w:r>
      <w:r w:rsidR="00E84D4F" w:rsidRPr="00032BB2">
        <w:rPr>
          <w:rFonts w:ascii="Calibri" w:hAnsi="Calibri" w:cs="Times New Roman"/>
          <w:sz w:val="24"/>
          <w:szCs w:val="24"/>
        </w:rPr>
        <w:t>lls use autophagy to prevent this</w:t>
      </w:r>
      <w:r w:rsidR="005F09E3" w:rsidRPr="00032BB2">
        <w:rPr>
          <w:rFonts w:ascii="Calibri" w:hAnsi="Calibri" w:cs="Times New Roman"/>
          <w:sz w:val="24"/>
          <w:szCs w:val="24"/>
        </w:rPr>
        <w:t xml:space="preserve"> build-up of dysfunctio</w:t>
      </w:r>
      <w:r w:rsidR="00F51ECF" w:rsidRPr="00032BB2">
        <w:rPr>
          <w:rFonts w:ascii="Calibri" w:hAnsi="Calibri" w:cs="Times New Roman"/>
          <w:sz w:val="24"/>
          <w:szCs w:val="24"/>
        </w:rPr>
        <w:t>nal organelles. This is done by signaling the dysfunctional structures</w:t>
      </w:r>
      <w:r w:rsidR="005F09E3" w:rsidRPr="00032BB2">
        <w:rPr>
          <w:rFonts w:ascii="Calibri" w:hAnsi="Calibri" w:cs="Times New Roman"/>
          <w:sz w:val="24"/>
          <w:szCs w:val="24"/>
        </w:rPr>
        <w:t xml:space="preserve"> for regulated destruction by lysosomes</w:t>
      </w:r>
      <w:r w:rsidR="00F51ECF" w:rsidRPr="00032BB2">
        <w:rPr>
          <w:rFonts w:ascii="Calibri" w:hAnsi="Calibri" w:cs="Times New Roman"/>
          <w:sz w:val="24"/>
          <w:szCs w:val="24"/>
        </w:rPr>
        <w:t>, which contain an acid enzyme that breaks down the materials</w:t>
      </w:r>
      <w:r w:rsidR="005F09E3" w:rsidRPr="00032BB2">
        <w:rPr>
          <w:rFonts w:ascii="Calibri" w:hAnsi="Calibri" w:cs="Times New Roman"/>
          <w:sz w:val="24"/>
          <w:szCs w:val="24"/>
        </w:rPr>
        <w:t>.</w:t>
      </w:r>
      <w:r w:rsidR="00F51ECF" w:rsidRPr="00032BB2">
        <w:rPr>
          <w:rFonts w:ascii="Calibri" w:hAnsi="Calibri" w:cs="Times New Roman"/>
          <w:sz w:val="24"/>
          <w:szCs w:val="24"/>
        </w:rPr>
        <w:t xml:space="preserve"> A more selective form of autophagy is </w:t>
      </w:r>
      <w:proofErr w:type="spellStart"/>
      <w:r w:rsidR="00F51ECF"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="00F51ECF" w:rsidRPr="00032BB2">
        <w:rPr>
          <w:rFonts w:ascii="Calibri" w:hAnsi="Calibri" w:cs="Times New Roman"/>
          <w:sz w:val="24"/>
          <w:szCs w:val="24"/>
        </w:rPr>
        <w:t>, which is the breakdown of dysfunctional mitochondria.</w:t>
      </w:r>
      <w:r w:rsidR="001507F4" w:rsidRPr="00032BB2">
        <w:rPr>
          <w:rFonts w:ascii="Calibri" w:hAnsi="Calibri" w:cs="Times New Roman"/>
          <w:sz w:val="24"/>
          <w:szCs w:val="24"/>
        </w:rPr>
        <w:t xml:space="preserve"> The mechanism of </w:t>
      </w:r>
      <w:proofErr w:type="spellStart"/>
      <w:r w:rsidR="001507F4"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="001507F4" w:rsidRPr="00032BB2">
        <w:rPr>
          <w:rFonts w:ascii="Calibri" w:hAnsi="Calibri" w:cs="Times New Roman"/>
          <w:sz w:val="24"/>
          <w:szCs w:val="24"/>
        </w:rPr>
        <w:t xml:space="preserve"> is still not quite understood. In mammals, the proteins identified in regulating this process are called PARK1 and PARK4. In yeast cells, the regulatory proteins are called Atg-32 and Atg-11</w:t>
      </w:r>
      <w:r w:rsidR="002F786B" w:rsidRPr="00032BB2">
        <w:rPr>
          <w:rFonts w:ascii="Calibri" w:hAnsi="Calibri" w:cs="Times New Roman"/>
          <w:sz w:val="24"/>
          <w:szCs w:val="24"/>
        </w:rPr>
        <w:t xml:space="preserve"> (Aoki et al 2011)</w:t>
      </w:r>
      <w:r w:rsidR="001507F4" w:rsidRPr="00032BB2">
        <w:rPr>
          <w:rFonts w:ascii="Calibri" w:hAnsi="Calibri" w:cs="Times New Roman"/>
          <w:sz w:val="24"/>
          <w:szCs w:val="24"/>
        </w:rPr>
        <w:t>.</w:t>
      </w:r>
    </w:p>
    <w:p w:rsidR="00B16CE5" w:rsidRPr="00032BB2" w:rsidRDefault="00B16CE5" w:rsidP="00D64786">
      <w:pPr>
        <w:rPr>
          <w:rFonts w:ascii="Calibri" w:hAnsi="Calibri" w:cs="Times New Roman"/>
          <w:sz w:val="24"/>
          <w:szCs w:val="24"/>
        </w:rPr>
      </w:pPr>
      <w:r w:rsidRPr="00032BB2">
        <w:rPr>
          <w:rFonts w:ascii="Calibri" w:hAnsi="Calibri" w:cs="Times New Roman"/>
          <w:sz w:val="24"/>
          <w:szCs w:val="24"/>
        </w:rPr>
        <w:t xml:space="preserve">Atg-32 and Atg-11 are specific proteins located in the cytoplasm that have been identified to regulate </w:t>
      </w:r>
      <w:proofErr w:type="spellStart"/>
      <w:r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Pr="00032BB2">
        <w:rPr>
          <w:rFonts w:ascii="Calibri" w:hAnsi="Calibri" w:cs="Times New Roman"/>
          <w:sz w:val="24"/>
          <w:szCs w:val="24"/>
        </w:rPr>
        <w:t xml:space="preserve"> in </w:t>
      </w:r>
      <w:r w:rsidRPr="00032BB2">
        <w:rPr>
          <w:rFonts w:ascii="Calibri" w:hAnsi="Calibri" w:cs="Times New Roman"/>
          <w:i/>
          <w:sz w:val="24"/>
          <w:szCs w:val="24"/>
        </w:rPr>
        <w:t xml:space="preserve">saccharomyces </w:t>
      </w:r>
      <w:proofErr w:type="spellStart"/>
      <w:r w:rsidRPr="00032BB2">
        <w:rPr>
          <w:rFonts w:ascii="Calibri" w:hAnsi="Calibri" w:cs="Times New Roman"/>
          <w:i/>
          <w:sz w:val="24"/>
          <w:szCs w:val="24"/>
        </w:rPr>
        <w:t>cerevisiae</w:t>
      </w:r>
      <w:proofErr w:type="spellEnd"/>
      <w:r w:rsidRPr="00032BB2">
        <w:rPr>
          <w:rFonts w:ascii="Calibri" w:hAnsi="Calibri" w:cs="Times New Roman"/>
          <w:i/>
          <w:sz w:val="24"/>
          <w:szCs w:val="24"/>
        </w:rPr>
        <w:t xml:space="preserve"> </w:t>
      </w:r>
      <w:r w:rsidRPr="00032BB2">
        <w:rPr>
          <w:rFonts w:ascii="Calibri" w:hAnsi="Calibri" w:cs="Times New Roman"/>
          <w:sz w:val="24"/>
          <w:szCs w:val="24"/>
        </w:rPr>
        <w:t xml:space="preserve">(yeast). </w:t>
      </w:r>
      <w:r w:rsidR="00E84D4F" w:rsidRPr="00032BB2">
        <w:rPr>
          <w:rFonts w:ascii="Calibri" w:hAnsi="Calibri" w:cs="Times New Roman"/>
          <w:sz w:val="24"/>
          <w:szCs w:val="24"/>
        </w:rPr>
        <w:t>When a dysfunctional mitochondria is detected, Atg-32 attaches itself on the outer mitochondrial membrane. When the Atg-32 protein is phosphorylated</w:t>
      </w:r>
      <w:r w:rsidR="00206353" w:rsidRPr="00032BB2">
        <w:rPr>
          <w:rFonts w:ascii="Calibri" w:hAnsi="Calibri" w:cs="Times New Roman"/>
          <w:sz w:val="24"/>
          <w:szCs w:val="24"/>
        </w:rPr>
        <w:t xml:space="preserve"> by an unknown kinase</w:t>
      </w:r>
      <w:r w:rsidR="00E84D4F" w:rsidRPr="00032BB2">
        <w:rPr>
          <w:rFonts w:ascii="Calibri" w:hAnsi="Calibri" w:cs="Times New Roman"/>
          <w:sz w:val="24"/>
          <w:szCs w:val="24"/>
        </w:rPr>
        <w:t>, it deve</w:t>
      </w:r>
      <w:r w:rsidR="00206353" w:rsidRPr="00032BB2">
        <w:rPr>
          <w:rFonts w:ascii="Calibri" w:hAnsi="Calibri" w:cs="Times New Roman"/>
          <w:sz w:val="24"/>
          <w:szCs w:val="24"/>
        </w:rPr>
        <w:t xml:space="preserve">lops a high affinity to Atg-11. </w:t>
      </w:r>
      <w:r w:rsidRPr="00032BB2">
        <w:rPr>
          <w:rFonts w:ascii="Calibri" w:hAnsi="Calibri" w:cs="Times New Roman"/>
          <w:sz w:val="24"/>
          <w:szCs w:val="24"/>
        </w:rPr>
        <w:t xml:space="preserve">Atg-11 is a protein that initiates the </w:t>
      </w:r>
      <w:proofErr w:type="spellStart"/>
      <w:r w:rsidRPr="00032BB2">
        <w:rPr>
          <w:rFonts w:ascii="Calibri" w:hAnsi="Calibri" w:cs="Times New Roman"/>
          <w:sz w:val="24"/>
          <w:szCs w:val="24"/>
        </w:rPr>
        <w:t>phagophore</w:t>
      </w:r>
      <w:proofErr w:type="spellEnd"/>
      <w:r w:rsidRPr="00032BB2">
        <w:rPr>
          <w:rFonts w:ascii="Calibri" w:hAnsi="Calibri" w:cs="Times New Roman"/>
          <w:sz w:val="24"/>
          <w:szCs w:val="24"/>
        </w:rPr>
        <w:t xml:space="preserve"> assembly site (PAS) where cytosolic membrane vesicles are formed. Atg-11 then interacts with the mitochondrial residential receptor Atg-32, forming a</w:t>
      </w:r>
      <w:r w:rsidR="00206353" w:rsidRPr="00032BB2">
        <w:rPr>
          <w:rFonts w:ascii="Calibri" w:hAnsi="Calibri" w:cs="Times New Roman"/>
          <w:sz w:val="24"/>
          <w:szCs w:val="24"/>
        </w:rPr>
        <w:t xml:space="preserve"> mitochondrial-protein</w:t>
      </w:r>
      <w:r w:rsidRPr="00032BB2">
        <w:rPr>
          <w:rFonts w:ascii="Calibri" w:hAnsi="Calibri" w:cs="Times New Roman"/>
          <w:sz w:val="24"/>
          <w:szCs w:val="24"/>
        </w:rPr>
        <w:t xml:space="preserve"> complex. The </w:t>
      </w:r>
      <w:proofErr w:type="spellStart"/>
      <w:r w:rsidRPr="00032BB2">
        <w:rPr>
          <w:rFonts w:ascii="Calibri" w:hAnsi="Calibri" w:cs="Times New Roman"/>
          <w:sz w:val="24"/>
          <w:szCs w:val="24"/>
        </w:rPr>
        <w:t>autophago</w:t>
      </w:r>
      <w:r w:rsidR="00206353" w:rsidRPr="00032BB2">
        <w:rPr>
          <w:rFonts w:ascii="Calibri" w:hAnsi="Calibri" w:cs="Times New Roman"/>
          <w:sz w:val="24"/>
          <w:szCs w:val="24"/>
        </w:rPr>
        <w:t>some</w:t>
      </w:r>
      <w:proofErr w:type="spellEnd"/>
      <w:r w:rsidR="00206353" w:rsidRPr="00032BB2">
        <w:rPr>
          <w:rFonts w:ascii="Calibri" w:hAnsi="Calibri" w:cs="Times New Roman"/>
          <w:sz w:val="24"/>
          <w:szCs w:val="24"/>
        </w:rPr>
        <w:t xml:space="preserve"> membrane forms around the complex</w:t>
      </w:r>
      <w:r w:rsidRPr="00032BB2">
        <w:rPr>
          <w:rFonts w:ascii="Calibri" w:hAnsi="Calibri" w:cs="Times New Roman"/>
          <w:sz w:val="24"/>
          <w:szCs w:val="24"/>
        </w:rPr>
        <w:t xml:space="preserve"> and then proceeds to fuse with a lysosome where the cargo (mitochondria) is </w:t>
      </w:r>
      <w:r w:rsidR="00206353" w:rsidRPr="00032BB2">
        <w:rPr>
          <w:rFonts w:ascii="Calibri" w:hAnsi="Calibri" w:cs="Times New Roman"/>
          <w:sz w:val="24"/>
          <w:szCs w:val="24"/>
        </w:rPr>
        <w:t xml:space="preserve">then </w:t>
      </w:r>
      <w:r w:rsidRPr="00032BB2">
        <w:rPr>
          <w:rFonts w:ascii="Calibri" w:hAnsi="Calibri" w:cs="Times New Roman"/>
          <w:sz w:val="24"/>
          <w:szCs w:val="24"/>
        </w:rPr>
        <w:t>degraded.</w:t>
      </w:r>
      <w:r w:rsidR="00206353" w:rsidRPr="00032BB2">
        <w:rPr>
          <w:rFonts w:ascii="Calibri" w:hAnsi="Calibri" w:cs="Times New Roman"/>
          <w:sz w:val="24"/>
          <w:szCs w:val="24"/>
        </w:rPr>
        <w:t xml:space="preserve"> The overview of this process is in Figure 1</w:t>
      </w:r>
      <w:r w:rsidR="002F786B" w:rsidRPr="00032BB2">
        <w:rPr>
          <w:rFonts w:ascii="Calibri" w:hAnsi="Calibri" w:cs="Times New Roman"/>
          <w:sz w:val="24"/>
          <w:szCs w:val="24"/>
        </w:rPr>
        <w:t xml:space="preserve"> (Aoki et al 2011)</w:t>
      </w:r>
      <w:r w:rsidR="00206353" w:rsidRPr="00032BB2">
        <w:rPr>
          <w:rFonts w:ascii="Calibri" w:hAnsi="Calibri" w:cs="Times New Roman"/>
          <w:sz w:val="24"/>
          <w:szCs w:val="24"/>
        </w:rPr>
        <w:t>.</w:t>
      </w:r>
    </w:p>
    <w:p w:rsidR="001507F4" w:rsidRPr="00032BB2" w:rsidRDefault="00E44BB5" w:rsidP="001507F4">
      <w:pPr>
        <w:rPr>
          <w:rFonts w:ascii="Calibri" w:hAnsi="Calibri" w:cs="Times New Roman"/>
          <w:sz w:val="24"/>
          <w:szCs w:val="24"/>
        </w:rPr>
      </w:pPr>
      <w:r w:rsidRPr="00032BB2">
        <w:rPr>
          <w:rFonts w:ascii="Calibri" w:hAnsi="Calibri" w:cs="Times New Roman"/>
          <w:sz w:val="24"/>
          <w:szCs w:val="24"/>
        </w:rPr>
        <w:t xml:space="preserve">However, this act of balancing the levels of ROS is not perfect. Outside factors could contribute and overwhelm the system. </w:t>
      </w:r>
      <w:r w:rsidR="002F786B" w:rsidRPr="00032BB2">
        <w:rPr>
          <w:rFonts w:ascii="Calibri" w:hAnsi="Calibri" w:cs="Times New Roman"/>
          <w:sz w:val="24"/>
          <w:szCs w:val="24"/>
        </w:rPr>
        <w:t xml:space="preserve">Lin et al (2006) speculated that an excess of ROS in a cell can </w:t>
      </w:r>
      <w:r w:rsidR="002F786B" w:rsidRPr="00032BB2">
        <w:rPr>
          <w:rFonts w:ascii="Calibri" w:hAnsi="Calibri" w:cs="Times New Roman"/>
          <w:sz w:val="24"/>
          <w:szCs w:val="24"/>
        </w:rPr>
        <w:lastRenderedPageBreak/>
        <w:t xml:space="preserve">damage mitochondria and cause a build-up of these dysfunctional structures. </w:t>
      </w:r>
      <w:r w:rsidRPr="00032BB2">
        <w:rPr>
          <w:rFonts w:ascii="Calibri" w:hAnsi="Calibri" w:cs="Times New Roman"/>
          <w:sz w:val="24"/>
          <w:szCs w:val="24"/>
        </w:rPr>
        <w:t>This imbalance of ROS in a cell can cause a phenomenon called “net ROS” and is thought to be the main contributor to aging, which is a major risk factor for dementia. When there is not an even ratio of ROS being produced and removed, there can be a surplus of ROS in the cell.</w:t>
      </w:r>
      <w:r w:rsidR="002F786B" w:rsidRPr="00032BB2">
        <w:rPr>
          <w:rFonts w:ascii="Calibri" w:hAnsi="Calibri" w:cs="Times New Roman"/>
          <w:sz w:val="24"/>
          <w:szCs w:val="24"/>
        </w:rPr>
        <w:t xml:space="preserve"> </w:t>
      </w:r>
      <w:r w:rsidR="001507F4" w:rsidRPr="00032BB2">
        <w:rPr>
          <w:rFonts w:ascii="Calibri" w:hAnsi="Calibri" w:cs="Times New Roman"/>
          <w:sz w:val="24"/>
          <w:szCs w:val="24"/>
        </w:rPr>
        <w:t>The build-up of these dysfunctional organelles can cause cell death. There is evidence that people with long-term alcohol abuse use have highe</w:t>
      </w:r>
      <w:r w:rsidRPr="00032BB2">
        <w:rPr>
          <w:rFonts w:ascii="Calibri" w:hAnsi="Calibri" w:cs="Times New Roman"/>
          <w:sz w:val="24"/>
          <w:szCs w:val="24"/>
        </w:rPr>
        <w:t>r chances of developing neurodegenerative disease</w:t>
      </w:r>
      <w:r w:rsidR="001507F4" w:rsidRPr="00032BB2">
        <w:rPr>
          <w:rFonts w:ascii="Calibri" w:hAnsi="Calibri" w:cs="Times New Roman"/>
          <w:sz w:val="24"/>
          <w:szCs w:val="24"/>
        </w:rPr>
        <w:t xml:space="preserve"> in old age compared to people who drink more casually or occasionally (Lin et al 2006).</w:t>
      </w:r>
      <w:r w:rsidR="00104819" w:rsidRPr="00032BB2">
        <w:rPr>
          <w:rFonts w:ascii="Calibri" w:hAnsi="Calibri" w:cs="Times New Roman"/>
          <w:sz w:val="24"/>
          <w:szCs w:val="24"/>
        </w:rPr>
        <w:t xml:space="preserve"> This could be because the excess ROS inhibits the proper regulation of dysfunctional mitochondria.</w:t>
      </w:r>
    </w:p>
    <w:p w:rsidR="002F786B" w:rsidRPr="00032BB2" w:rsidRDefault="002F786B" w:rsidP="00415391">
      <w:pPr>
        <w:rPr>
          <w:rFonts w:ascii="Calibri" w:hAnsi="Calibri" w:cs="Times New Roman"/>
          <w:sz w:val="24"/>
          <w:szCs w:val="24"/>
        </w:rPr>
      </w:pPr>
      <w:r w:rsidRPr="00032BB2">
        <w:rPr>
          <w:rFonts w:ascii="Calibri" w:hAnsi="Calibri" w:cs="Times New Roman"/>
          <w:sz w:val="24"/>
          <w:szCs w:val="24"/>
        </w:rPr>
        <w:t>The purpose of the experiment</w:t>
      </w:r>
      <w:r w:rsidR="00FA4ECC" w:rsidRPr="00032BB2">
        <w:rPr>
          <w:rFonts w:ascii="Calibri" w:hAnsi="Calibri" w:cs="Times New Roman"/>
          <w:sz w:val="24"/>
          <w:szCs w:val="24"/>
        </w:rPr>
        <w:t xml:space="preserve"> described in this proposal </w:t>
      </w:r>
      <w:r w:rsidR="006D36A1" w:rsidRPr="00032BB2">
        <w:rPr>
          <w:rFonts w:ascii="Calibri" w:hAnsi="Calibri" w:cs="Times New Roman"/>
          <w:sz w:val="24"/>
          <w:szCs w:val="24"/>
        </w:rPr>
        <w:t xml:space="preserve">is to </w:t>
      </w:r>
      <w:r w:rsidR="0067213A" w:rsidRPr="00032BB2">
        <w:rPr>
          <w:rFonts w:ascii="Calibri" w:hAnsi="Calibri" w:cs="Times New Roman"/>
          <w:sz w:val="24"/>
          <w:szCs w:val="24"/>
        </w:rPr>
        <w:t>determine if higher concentrations of ethanol</w:t>
      </w:r>
      <w:r w:rsidRPr="00032BB2">
        <w:rPr>
          <w:rFonts w:ascii="Calibri" w:hAnsi="Calibri" w:cs="Times New Roman"/>
          <w:sz w:val="24"/>
          <w:szCs w:val="24"/>
        </w:rPr>
        <w:t xml:space="preserve"> will show low levels of GFP processing, which correlates to</w:t>
      </w:r>
      <w:r w:rsidR="008B08D4" w:rsidRPr="00032BB2">
        <w:rPr>
          <w:rFonts w:ascii="Calibri" w:hAnsi="Calibri" w:cs="Times New Roman"/>
          <w:sz w:val="24"/>
          <w:szCs w:val="24"/>
        </w:rPr>
        <w:t xml:space="preserve"> lower</w:t>
      </w:r>
      <w:r w:rsidRPr="00032BB2">
        <w:rPr>
          <w:rFonts w:ascii="Calibri" w:hAnsi="Calibri" w:cs="Times New Roman"/>
          <w:sz w:val="24"/>
          <w:szCs w:val="24"/>
        </w:rPr>
        <w:t xml:space="preserve"> level</w:t>
      </w:r>
      <w:r w:rsidR="008B08D4" w:rsidRPr="00032BB2">
        <w:rPr>
          <w:rFonts w:ascii="Calibri" w:hAnsi="Calibri" w:cs="Times New Roman"/>
          <w:sz w:val="24"/>
          <w:szCs w:val="24"/>
        </w:rPr>
        <w:t>s</w:t>
      </w:r>
      <w:r w:rsidRPr="00032BB2">
        <w:rPr>
          <w:rFonts w:ascii="Calibri" w:hAnsi="Calibri" w:cs="Times New Roman"/>
          <w:sz w:val="24"/>
          <w:szCs w:val="24"/>
        </w:rPr>
        <w:t xml:space="preserve"> of </w:t>
      </w:r>
      <w:proofErr w:type="spellStart"/>
      <w:r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Pr="00032BB2">
        <w:rPr>
          <w:rFonts w:ascii="Calibri" w:hAnsi="Calibri" w:cs="Times New Roman"/>
          <w:sz w:val="24"/>
          <w:szCs w:val="24"/>
        </w:rPr>
        <w:t xml:space="preserve">, in yeast </w:t>
      </w:r>
      <w:r w:rsidR="00775AC8" w:rsidRPr="00032BB2">
        <w:rPr>
          <w:rFonts w:ascii="Calibri" w:hAnsi="Calibri" w:cs="Times New Roman"/>
          <w:sz w:val="24"/>
          <w:szCs w:val="24"/>
        </w:rPr>
        <w:t>(Aoki et al 2011)</w:t>
      </w:r>
      <w:r w:rsidR="00D1033E" w:rsidRPr="00032BB2">
        <w:rPr>
          <w:rFonts w:ascii="Calibri" w:hAnsi="Calibri" w:cs="Times New Roman"/>
          <w:sz w:val="24"/>
          <w:szCs w:val="24"/>
        </w:rPr>
        <w:t>.</w:t>
      </w:r>
    </w:p>
    <w:p w:rsidR="00415391" w:rsidRPr="00032BB2" w:rsidRDefault="00415391" w:rsidP="00D05239">
      <w:pPr>
        <w:pStyle w:val="ListParagraph"/>
        <w:numPr>
          <w:ilvl w:val="0"/>
          <w:numId w:val="2"/>
        </w:numPr>
        <w:rPr>
          <w:rFonts w:ascii="Calibri" w:hAnsi="Calibri" w:cs="Times New Roman"/>
          <w:b/>
          <w:sz w:val="24"/>
          <w:szCs w:val="24"/>
        </w:rPr>
      </w:pPr>
      <w:r w:rsidRPr="00032BB2">
        <w:rPr>
          <w:rFonts w:ascii="Calibri" w:hAnsi="Calibri" w:cs="Times New Roman"/>
          <w:b/>
          <w:sz w:val="24"/>
          <w:szCs w:val="24"/>
        </w:rPr>
        <w:t>Experiment</w:t>
      </w:r>
    </w:p>
    <w:p w:rsidR="00F64C07" w:rsidRPr="00032BB2" w:rsidRDefault="00F64C07" w:rsidP="00415391">
      <w:pPr>
        <w:rPr>
          <w:rFonts w:ascii="Calibri" w:hAnsi="Calibri" w:cs="Times New Roman"/>
          <w:sz w:val="24"/>
          <w:szCs w:val="24"/>
        </w:rPr>
      </w:pPr>
      <w:r w:rsidRPr="00032BB2">
        <w:rPr>
          <w:rFonts w:ascii="Calibri" w:hAnsi="Calibri" w:cs="Times New Roman"/>
          <w:sz w:val="24"/>
          <w:szCs w:val="24"/>
        </w:rPr>
        <w:t xml:space="preserve">The aim of this experiment is to determine if higher concentrations of ethanol exposure will decrease levels of </w:t>
      </w:r>
      <w:r w:rsidR="00713268" w:rsidRPr="00032BB2">
        <w:rPr>
          <w:rFonts w:ascii="Calibri" w:hAnsi="Calibri" w:cs="Times New Roman"/>
          <w:sz w:val="24"/>
          <w:szCs w:val="24"/>
        </w:rPr>
        <w:t>Om45-GFP processing by yeast cells in response to ethanol</w:t>
      </w:r>
      <w:r w:rsidRPr="00032BB2">
        <w:rPr>
          <w:rFonts w:ascii="Calibri" w:hAnsi="Calibri" w:cs="Times New Roman"/>
          <w:sz w:val="24"/>
          <w:szCs w:val="24"/>
        </w:rPr>
        <w:t xml:space="preserve">. If the phosphorylation of Atg-32 is necessary for </w:t>
      </w:r>
      <w:proofErr w:type="spellStart"/>
      <w:r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Pr="00032BB2">
        <w:rPr>
          <w:rFonts w:ascii="Calibri" w:hAnsi="Calibri" w:cs="Times New Roman"/>
          <w:sz w:val="24"/>
          <w:szCs w:val="24"/>
        </w:rPr>
        <w:t xml:space="preserve">, then I would expect that higher </w:t>
      </w:r>
      <w:r w:rsidR="008F3FF7" w:rsidRPr="00032BB2">
        <w:rPr>
          <w:rFonts w:ascii="Calibri" w:hAnsi="Calibri" w:cs="Times New Roman"/>
          <w:sz w:val="24"/>
          <w:szCs w:val="24"/>
        </w:rPr>
        <w:t xml:space="preserve">net </w:t>
      </w:r>
      <w:r w:rsidRPr="00032BB2">
        <w:rPr>
          <w:rFonts w:ascii="Calibri" w:hAnsi="Calibri" w:cs="Times New Roman"/>
          <w:sz w:val="24"/>
          <w:szCs w:val="24"/>
        </w:rPr>
        <w:t>levels of ROS would decrease</w:t>
      </w:r>
      <w:r w:rsidR="00B67D28" w:rsidRPr="00032BB2">
        <w:rPr>
          <w:rFonts w:ascii="Calibri" w:hAnsi="Calibri" w:cs="Times New Roman"/>
          <w:sz w:val="24"/>
          <w:szCs w:val="24"/>
        </w:rPr>
        <w:t xml:space="preserve"> levels of </w:t>
      </w:r>
      <w:r w:rsidR="008F3FF7" w:rsidRPr="00032BB2">
        <w:rPr>
          <w:rFonts w:ascii="Calibri" w:hAnsi="Calibri" w:cs="Times New Roman"/>
          <w:sz w:val="24"/>
          <w:szCs w:val="24"/>
        </w:rPr>
        <w:t>GFP processed</w:t>
      </w:r>
      <w:r w:rsidR="00B67D28" w:rsidRPr="00032BB2">
        <w:rPr>
          <w:rFonts w:ascii="Calibri" w:hAnsi="Calibri" w:cs="Times New Roman"/>
          <w:sz w:val="24"/>
          <w:szCs w:val="24"/>
        </w:rPr>
        <w:t xml:space="preserve"> because the kinase processing Atg-32 has a higher chance of being oxidized and becoming dysfunctional.</w:t>
      </w:r>
      <w:r w:rsidR="008F3FF7" w:rsidRPr="00032BB2">
        <w:rPr>
          <w:rFonts w:ascii="Calibri" w:hAnsi="Calibri" w:cs="Times New Roman"/>
          <w:sz w:val="24"/>
          <w:szCs w:val="24"/>
        </w:rPr>
        <w:t xml:space="preserve"> The correlation of GFP processing and levels of </w:t>
      </w:r>
      <w:proofErr w:type="spellStart"/>
      <w:r w:rsidR="008F3FF7"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="008F3FF7" w:rsidRPr="00032BB2">
        <w:rPr>
          <w:rFonts w:ascii="Calibri" w:hAnsi="Calibri" w:cs="Times New Roman"/>
          <w:sz w:val="24"/>
          <w:szCs w:val="24"/>
        </w:rPr>
        <w:t xml:space="preserve"> is described in section II.A.</w:t>
      </w:r>
    </w:p>
    <w:p w:rsidR="0039603C" w:rsidRPr="00032BB2" w:rsidRDefault="0039603C" w:rsidP="00415391">
      <w:pPr>
        <w:rPr>
          <w:rFonts w:ascii="Calibri" w:hAnsi="Calibri" w:cs="Times New Roman"/>
          <w:sz w:val="24"/>
          <w:szCs w:val="24"/>
        </w:rPr>
      </w:pPr>
      <w:r w:rsidRPr="00032BB2">
        <w:rPr>
          <w:rFonts w:ascii="Calibri" w:hAnsi="Calibri" w:cs="Times New Roman"/>
          <w:sz w:val="24"/>
          <w:szCs w:val="24"/>
        </w:rPr>
        <w:t xml:space="preserve">I will produce Atg-32 protein expressing Om45-GFP </w:t>
      </w:r>
      <w:r w:rsidR="00104819" w:rsidRPr="00032BB2">
        <w:rPr>
          <w:rFonts w:ascii="Calibri" w:hAnsi="Calibri" w:cs="Times New Roman"/>
          <w:sz w:val="24"/>
          <w:szCs w:val="24"/>
        </w:rPr>
        <w:t>in yeast by using a viral vector. This technique is done by exposing the virus carrying the gene for Atg-32 expressing Om45-GFP with the yeast cell in order</w:t>
      </w:r>
      <w:r w:rsidR="00950A27" w:rsidRPr="00032BB2">
        <w:rPr>
          <w:rFonts w:ascii="Calibri" w:hAnsi="Calibri" w:cs="Times New Roman"/>
          <w:sz w:val="24"/>
          <w:szCs w:val="24"/>
        </w:rPr>
        <w:t xml:space="preserve"> to transfer the gene</w:t>
      </w:r>
      <w:r w:rsidR="00104819" w:rsidRPr="00032BB2">
        <w:rPr>
          <w:rFonts w:ascii="Calibri" w:hAnsi="Calibri" w:cs="Times New Roman"/>
          <w:sz w:val="24"/>
          <w:szCs w:val="24"/>
        </w:rPr>
        <w:t xml:space="preserve"> directly. I will introduce the yeast cell groups</w:t>
      </w:r>
      <w:r w:rsidR="002B73BD" w:rsidRPr="00032BB2">
        <w:rPr>
          <w:rFonts w:ascii="Calibri" w:hAnsi="Calibri" w:cs="Times New Roman"/>
          <w:sz w:val="24"/>
          <w:szCs w:val="24"/>
        </w:rPr>
        <w:t xml:space="preserve"> to </w:t>
      </w:r>
      <w:r w:rsidR="00763B8D" w:rsidRPr="00032BB2">
        <w:rPr>
          <w:rFonts w:ascii="Calibri" w:hAnsi="Calibri" w:cs="Times New Roman"/>
          <w:sz w:val="24"/>
          <w:szCs w:val="24"/>
        </w:rPr>
        <w:t xml:space="preserve">different levels of </w:t>
      </w:r>
      <w:r w:rsidR="003F4256" w:rsidRPr="00032BB2">
        <w:rPr>
          <w:rFonts w:ascii="Calibri" w:hAnsi="Calibri" w:cs="Times New Roman"/>
          <w:sz w:val="24"/>
          <w:szCs w:val="24"/>
        </w:rPr>
        <w:t xml:space="preserve">ethanol </w:t>
      </w:r>
      <w:r w:rsidR="00763B8D" w:rsidRPr="00032BB2">
        <w:rPr>
          <w:rFonts w:ascii="Calibri" w:hAnsi="Calibri" w:cs="Times New Roman"/>
          <w:sz w:val="24"/>
          <w:szCs w:val="24"/>
        </w:rPr>
        <w:t xml:space="preserve">as their </w:t>
      </w:r>
      <w:r w:rsidR="003F4256" w:rsidRPr="00032BB2">
        <w:rPr>
          <w:rFonts w:ascii="Calibri" w:hAnsi="Calibri" w:cs="Times New Roman"/>
          <w:sz w:val="24"/>
          <w:szCs w:val="24"/>
        </w:rPr>
        <w:t xml:space="preserve">environment. </w:t>
      </w:r>
      <w:r w:rsidR="00763B8D" w:rsidRPr="00032BB2">
        <w:rPr>
          <w:rFonts w:ascii="Calibri" w:hAnsi="Calibri" w:cs="Times New Roman"/>
          <w:sz w:val="24"/>
          <w:szCs w:val="24"/>
        </w:rPr>
        <w:t>My control group will be yeast cells not in ethanol. The leve</w:t>
      </w:r>
      <w:r w:rsidR="00104819" w:rsidRPr="00032BB2">
        <w:rPr>
          <w:rFonts w:ascii="Calibri" w:hAnsi="Calibri" w:cs="Times New Roman"/>
          <w:sz w:val="24"/>
          <w:szCs w:val="24"/>
        </w:rPr>
        <w:t xml:space="preserve">ls of </w:t>
      </w:r>
      <w:proofErr w:type="spellStart"/>
      <w:r w:rsidR="00104819"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="00104819" w:rsidRPr="00032BB2">
        <w:rPr>
          <w:rFonts w:ascii="Calibri" w:hAnsi="Calibri" w:cs="Times New Roman"/>
          <w:sz w:val="24"/>
          <w:szCs w:val="24"/>
        </w:rPr>
        <w:t xml:space="preserve"> will be correlated</w:t>
      </w:r>
      <w:r w:rsidR="00763B8D" w:rsidRPr="00032BB2">
        <w:rPr>
          <w:rFonts w:ascii="Calibri" w:hAnsi="Calibri" w:cs="Times New Roman"/>
          <w:sz w:val="24"/>
          <w:szCs w:val="24"/>
        </w:rPr>
        <w:t xml:space="preserve"> by the amount of GFP processed using a Om45-GFP processing assay </w:t>
      </w:r>
      <w:r w:rsidR="00104819" w:rsidRPr="00032BB2">
        <w:rPr>
          <w:rFonts w:ascii="Calibri" w:hAnsi="Calibri" w:cs="Times New Roman"/>
          <w:sz w:val="24"/>
          <w:szCs w:val="24"/>
        </w:rPr>
        <w:t xml:space="preserve">and a western blot </w:t>
      </w:r>
      <w:r w:rsidR="002C6592" w:rsidRPr="00032BB2">
        <w:rPr>
          <w:rFonts w:ascii="Calibri" w:hAnsi="Calibri" w:cs="Times New Roman"/>
          <w:sz w:val="24"/>
          <w:szCs w:val="24"/>
        </w:rPr>
        <w:t xml:space="preserve">technique </w:t>
      </w:r>
      <w:r w:rsidR="00104819" w:rsidRPr="00032BB2">
        <w:rPr>
          <w:rFonts w:ascii="Calibri" w:hAnsi="Calibri" w:cs="Times New Roman"/>
          <w:sz w:val="24"/>
          <w:szCs w:val="24"/>
        </w:rPr>
        <w:t xml:space="preserve">as </w:t>
      </w:r>
      <w:r w:rsidR="00775AC8" w:rsidRPr="00032BB2">
        <w:rPr>
          <w:rFonts w:ascii="Calibri" w:hAnsi="Calibri" w:cs="Times New Roman"/>
          <w:sz w:val="24"/>
          <w:szCs w:val="24"/>
        </w:rPr>
        <w:t>described by Aoki et al (2011</w:t>
      </w:r>
      <w:r w:rsidR="00763B8D" w:rsidRPr="00032BB2">
        <w:rPr>
          <w:rFonts w:ascii="Calibri" w:hAnsi="Calibri" w:cs="Times New Roman"/>
          <w:sz w:val="24"/>
          <w:szCs w:val="24"/>
        </w:rPr>
        <w:t>)</w:t>
      </w:r>
      <w:r w:rsidR="00104819" w:rsidRPr="00032BB2">
        <w:rPr>
          <w:rFonts w:ascii="Calibri" w:hAnsi="Calibri" w:cs="Times New Roman"/>
          <w:sz w:val="24"/>
          <w:szCs w:val="24"/>
        </w:rPr>
        <w:t xml:space="preserve"> and in II.A/II.B</w:t>
      </w:r>
      <w:r w:rsidR="00763B8D" w:rsidRPr="00032BB2">
        <w:rPr>
          <w:rFonts w:ascii="Calibri" w:hAnsi="Calibri" w:cs="Times New Roman"/>
          <w:sz w:val="24"/>
          <w:szCs w:val="24"/>
        </w:rPr>
        <w:t>.</w:t>
      </w:r>
    </w:p>
    <w:p w:rsidR="0039603C" w:rsidRPr="00032BB2" w:rsidRDefault="0039603C" w:rsidP="00415391">
      <w:pPr>
        <w:rPr>
          <w:rFonts w:ascii="Calibri" w:hAnsi="Calibri" w:cs="Times New Roman"/>
          <w:sz w:val="24"/>
          <w:szCs w:val="24"/>
          <w:u w:val="single"/>
        </w:rPr>
      </w:pPr>
      <w:r w:rsidRPr="00032BB2">
        <w:rPr>
          <w:rFonts w:ascii="Calibri" w:hAnsi="Calibri" w:cs="Times New Roman"/>
          <w:sz w:val="24"/>
          <w:szCs w:val="24"/>
        </w:rPr>
        <w:t xml:space="preserve">II.A </w:t>
      </w:r>
      <w:r w:rsidRPr="00032BB2">
        <w:rPr>
          <w:rFonts w:ascii="Calibri" w:hAnsi="Calibri" w:cs="Times New Roman"/>
          <w:sz w:val="24"/>
          <w:szCs w:val="24"/>
          <w:u w:val="single"/>
        </w:rPr>
        <w:t xml:space="preserve">Measuring Levels of </w:t>
      </w:r>
      <w:proofErr w:type="spellStart"/>
      <w:r w:rsidRPr="00032BB2">
        <w:rPr>
          <w:rFonts w:ascii="Calibri" w:hAnsi="Calibri" w:cs="Times New Roman"/>
          <w:sz w:val="24"/>
          <w:szCs w:val="24"/>
          <w:u w:val="single"/>
        </w:rPr>
        <w:t>Mitophagy</w:t>
      </w:r>
      <w:proofErr w:type="spellEnd"/>
      <w:r w:rsidRPr="00032BB2">
        <w:rPr>
          <w:rFonts w:ascii="Calibri" w:hAnsi="Calibri" w:cs="Times New Roman"/>
          <w:sz w:val="24"/>
          <w:szCs w:val="24"/>
          <w:u w:val="single"/>
        </w:rPr>
        <w:t xml:space="preserve"> in Yeast</w:t>
      </w:r>
    </w:p>
    <w:p w:rsidR="00BE1A2F" w:rsidRPr="00032BB2" w:rsidRDefault="0039603C" w:rsidP="0039603C">
      <w:pPr>
        <w:rPr>
          <w:rFonts w:ascii="Calibri" w:hAnsi="Calibri" w:cs="Times New Roman"/>
          <w:sz w:val="24"/>
          <w:szCs w:val="24"/>
        </w:rPr>
      </w:pPr>
      <w:r w:rsidRPr="00032BB2">
        <w:rPr>
          <w:rFonts w:ascii="Calibri" w:hAnsi="Calibri" w:cs="Times New Roman"/>
          <w:sz w:val="24"/>
          <w:szCs w:val="24"/>
        </w:rPr>
        <w:t>This method was employed by Aoki et al (201</w:t>
      </w:r>
      <w:r w:rsidR="00775AC8" w:rsidRPr="00032BB2">
        <w:rPr>
          <w:rFonts w:ascii="Calibri" w:hAnsi="Calibri" w:cs="Times New Roman"/>
          <w:sz w:val="24"/>
          <w:szCs w:val="24"/>
        </w:rPr>
        <w:t>1</w:t>
      </w:r>
      <w:r w:rsidRPr="00032BB2">
        <w:rPr>
          <w:rFonts w:ascii="Calibri" w:hAnsi="Calibri" w:cs="Times New Roman"/>
          <w:sz w:val="24"/>
          <w:szCs w:val="24"/>
        </w:rPr>
        <w:t>) to detect</w:t>
      </w:r>
      <w:r w:rsidR="0016704B" w:rsidRPr="00032BB2">
        <w:rPr>
          <w:rFonts w:ascii="Calibri" w:hAnsi="Calibri" w:cs="Times New Roman"/>
          <w:sz w:val="24"/>
          <w:szCs w:val="24"/>
        </w:rPr>
        <w:t xml:space="preserve"> for the evidence of changing rates</w:t>
      </w:r>
      <w:r w:rsidRPr="00032BB2">
        <w:rPr>
          <w:rFonts w:ascii="Calibri" w:hAnsi="Calibri" w:cs="Times New Roman"/>
          <w:sz w:val="24"/>
          <w:szCs w:val="24"/>
        </w:rPr>
        <w:t xml:space="preserve"> of </w:t>
      </w:r>
      <w:proofErr w:type="spellStart"/>
      <w:r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Pr="00032BB2">
        <w:rPr>
          <w:rFonts w:ascii="Calibri" w:hAnsi="Calibri" w:cs="Times New Roman"/>
          <w:sz w:val="24"/>
          <w:szCs w:val="24"/>
        </w:rPr>
        <w:t xml:space="preserve"> in yeast induced by nitrogen starvation. Aoki et al (201</w:t>
      </w:r>
      <w:r w:rsidR="00775AC8" w:rsidRPr="00032BB2">
        <w:rPr>
          <w:rFonts w:ascii="Calibri" w:hAnsi="Calibri" w:cs="Times New Roman"/>
          <w:sz w:val="24"/>
          <w:szCs w:val="24"/>
        </w:rPr>
        <w:t>1</w:t>
      </w:r>
      <w:r w:rsidRPr="00032BB2">
        <w:rPr>
          <w:rFonts w:ascii="Calibri" w:hAnsi="Calibri" w:cs="Times New Roman"/>
          <w:sz w:val="24"/>
          <w:szCs w:val="24"/>
        </w:rPr>
        <w:t xml:space="preserve">) speculated that the phosphorylation of Ser-114, a specific amino acid structure on Atg-32, might be important for </w:t>
      </w:r>
      <w:proofErr w:type="spellStart"/>
      <w:r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Pr="00032BB2">
        <w:rPr>
          <w:rFonts w:ascii="Calibri" w:hAnsi="Calibri" w:cs="Times New Roman"/>
          <w:sz w:val="24"/>
          <w:szCs w:val="24"/>
        </w:rPr>
        <w:t xml:space="preserve"> and for the Atg-32 affinity for Atg-11. They tested this idea by producing phosphorylation-deficient Atg-32 mutants expressing Om45-green fluorescent </w:t>
      </w:r>
      <w:proofErr w:type="gramStart"/>
      <w:r w:rsidRPr="00032BB2">
        <w:rPr>
          <w:rFonts w:ascii="Calibri" w:hAnsi="Calibri" w:cs="Times New Roman"/>
          <w:sz w:val="24"/>
          <w:szCs w:val="24"/>
        </w:rPr>
        <w:t>protein(</w:t>
      </w:r>
      <w:proofErr w:type="gramEnd"/>
      <w:r w:rsidRPr="00032BB2">
        <w:rPr>
          <w:rFonts w:ascii="Calibri" w:hAnsi="Calibri" w:cs="Times New Roman"/>
          <w:sz w:val="24"/>
          <w:szCs w:val="24"/>
        </w:rPr>
        <w:t xml:space="preserve">GFP) and inducing the yeast cells to undergo </w:t>
      </w:r>
      <w:proofErr w:type="spellStart"/>
      <w:r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Pr="00032BB2">
        <w:rPr>
          <w:rFonts w:ascii="Calibri" w:hAnsi="Calibri" w:cs="Times New Roman"/>
          <w:sz w:val="24"/>
          <w:szCs w:val="24"/>
        </w:rPr>
        <w:t xml:space="preserve"> by nitrogen starvation. </w:t>
      </w:r>
    </w:p>
    <w:p w:rsidR="00BE1A2F" w:rsidRPr="00032BB2" w:rsidRDefault="00C162F7" w:rsidP="0039603C">
      <w:pPr>
        <w:rPr>
          <w:rFonts w:ascii="Calibri" w:hAnsi="Calibri" w:cs="Times New Roman"/>
          <w:sz w:val="24"/>
          <w:szCs w:val="24"/>
        </w:rPr>
      </w:pPr>
      <w:r w:rsidRPr="00032BB2">
        <w:rPr>
          <w:rFonts w:ascii="Calibri" w:hAnsi="Calibri" w:cs="Times New Roman"/>
          <w:sz w:val="24"/>
          <w:szCs w:val="24"/>
        </w:rPr>
        <w:t>Om45 is a mitochondrial outer membrane protein tha</w:t>
      </w:r>
      <w:r w:rsidR="005C7266" w:rsidRPr="00032BB2">
        <w:rPr>
          <w:rFonts w:ascii="Calibri" w:hAnsi="Calibri" w:cs="Times New Roman"/>
          <w:sz w:val="24"/>
          <w:szCs w:val="24"/>
        </w:rPr>
        <w:t>t has no known function. When Om45</w:t>
      </w:r>
      <w:r w:rsidRPr="00032BB2">
        <w:rPr>
          <w:rFonts w:ascii="Calibri" w:hAnsi="Calibri" w:cs="Times New Roman"/>
          <w:sz w:val="24"/>
          <w:szCs w:val="24"/>
        </w:rPr>
        <w:t xml:space="preserve"> is</w:t>
      </w:r>
      <w:r w:rsidR="005C7266" w:rsidRPr="00032BB2">
        <w:rPr>
          <w:rFonts w:ascii="Calibri" w:hAnsi="Calibri" w:cs="Times New Roman"/>
          <w:sz w:val="24"/>
          <w:szCs w:val="24"/>
        </w:rPr>
        <w:t xml:space="preserve"> tag</w:t>
      </w:r>
      <w:r w:rsidR="001D78F1" w:rsidRPr="00032BB2">
        <w:rPr>
          <w:rFonts w:ascii="Calibri" w:hAnsi="Calibri" w:cs="Times New Roman"/>
          <w:sz w:val="24"/>
          <w:szCs w:val="24"/>
        </w:rPr>
        <w:t>ged with GFP, the complex attaches itself</w:t>
      </w:r>
      <w:r w:rsidR="005C7266" w:rsidRPr="00032BB2">
        <w:rPr>
          <w:rFonts w:ascii="Calibri" w:hAnsi="Calibri" w:cs="Times New Roman"/>
          <w:sz w:val="24"/>
          <w:szCs w:val="24"/>
        </w:rPr>
        <w:t xml:space="preserve"> around the mitochondrial outer membrane. </w:t>
      </w:r>
      <w:r w:rsidR="001D78F1" w:rsidRPr="00032BB2">
        <w:rPr>
          <w:rFonts w:ascii="Calibri" w:hAnsi="Calibri" w:cs="Times New Roman"/>
          <w:sz w:val="24"/>
          <w:szCs w:val="24"/>
        </w:rPr>
        <w:t xml:space="preserve">Each group of mutants </w:t>
      </w:r>
      <w:r w:rsidR="0039603C" w:rsidRPr="00032BB2">
        <w:rPr>
          <w:rFonts w:ascii="Calibri" w:hAnsi="Calibri" w:cs="Times New Roman"/>
          <w:sz w:val="24"/>
          <w:szCs w:val="24"/>
        </w:rPr>
        <w:t>had a different amino acid that was phosphorylation-deficient</w:t>
      </w:r>
      <w:r w:rsidR="001D78F1" w:rsidRPr="00032BB2">
        <w:rPr>
          <w:rFonts w:ascii="Calibri" w:hAnsi="Calibri" w:cs="Times New Roman"/>
          <w:sz w:val="24"/>
          <w:szCs w:val="24"/>
        </w:rPr>
        <w:t xml:space="preserve"> on the Atg-32 protein</w:t>
      </w:r>
      <w:r w:rsidR="0039603C" w:rsidRPr="00032BB2">
        <w:rPr>
          <w:rFonts w:ascii="Calibri" w:hAnsi="Calibri" w:cs="Times New Roman"/>
          <w:sz w:val="24"/>
          <w:szCs w:val="24"/>
        </w:rPr>
        <w:t xml:space="preserve">. One group was the wild-type, one group was deficient in Ser-114, one group was deficient in the Ser-119, and one group was deficient in both Ser-114 and Ser-119. </w:t>
      </w:r>
    </w:p>
    <w:p w:rsidR="006D5F02" w:rsidRPr="00032BB2" w:rsidRDefault="008B08D4" w:rsidP="0039603C">
      <w:pPr>
        <w:rPr>
          <w:rFonts w:ascii="Calibri" w:hAnsi="Calibri" w:cs="Times New Roman"/>
          <w:sz w:val="24"/>
          <w:szCs w:val="24"/>
        </w:rPr>
      </w:pPr>
      <w:r w:rsidRPr="00032BB2">
        <w:rPr>
          <w:rFonts w:ascii="Calibri" w:hAnsi="Calibri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B56799B" wp14:editId="4F840759">
            <wp:simplePos x="0" y="0"/>
            <wp:positionH relativeFrom="margin">
              <wp:posOffset>3449955</wp:posOffset>
            </wp:positionH>
            <wp:positionV relativeFrom="paragraph">
              <wp:posOffset>12700</wp:posOffset>
            </wp:positionV>
            <wp:extent cx="2846070" cy="2162175"/>
            <wp:effectExtent l="0" t="0" r="0" b="952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03C" w:rsidRPr="00032BB2">
        <w:rPr>
          <w:rFonts w:ascii="Calibri" w:hAnsi="Calibri" w:cs="Times New Roman"/>
          <w:sz w:val="24"/>
          <w:szCs w:val="24"/>
        </w:rPr>
        <w:t xml:space="preserve">When the yeast cells underwent </w:t>
      </w:r>
      <w:proofErr w:type="spellStart"/>
      <w:r w:rsidR="0039603C"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="0039603C" w:rsidRPr="00032BB2">
        <w:rPr>
          <w:rFonts w:ascii="Calibri" w:hAnsi="Calibri" w:cs="Times New Roman"/>
          <w:sz w:val="24"/>
          <w:szCs w:val="24"/>
        </w:rPr>
        <w:t xml:space="preserve">, </w:t>
      </w:r>
      <w:r w:rsidR="001D78F1" w:rsidRPr="00032BB2">
        <w:rPr>
          <w:rFonts w:ascii="Calibri" w:hAnsi="Calibri" w:cs="Times New Roman"/>
          <w:sz w:val="24"/>
          <w:szCs w:val="24"/>
        </w:rPr>
        <w:t>Om45-GFP ends up at the</w:t>
      </w:r>
      <w:r w:rsidR="005C7266" w:rsidRPr="00032BB2">
        <w:rPr>
          <w:rFonts w:ascii="Calibri" w:hAnsi="Calibri" w:cs="Times New Roman"/>
          <w:sz w:val="24"/>
          <w:szCs w:val="24"/>
        </w:rPr>
        <w:t xml:space="preserve"> cell’s vacuole</w:t>
      </w:r>
      <w:r w:rsidR="001D78F1" w:rsidRPr="00032BB2">
        <w:rPr>
          <w:rFonts w:ascii="Calibri" w:hAnsi="Calibri" w:cs="Times New Roman"/>
          <w:sz w:val="24"/>
          <w:szCs w:val="24"/>
        </w:rPr>
        <w:t xml:space="preserve"> after the mitochondria is degraded</w:t>
      </w:r>
      <w:r w:rsidR="006D5F02" w:rsidRPr="00032BB2">
        <w:rPr>
          <w:rFonts w:ascii="Calibri" w:hAnsi="Calibri" w:cs="Times New Roman"/>
          <w:sz w:val="24"/>
          <w:szCs w:val="24"/>
        </w:rPr>
        <w:t xml:space="preserve"> by the lysosome</w:t>
      </w:r>
      <w:r w:rsidR="001D78F1" w:rsidRPr="00032BB2">
        <w:rPr>
          <w:rFonts w:ascii="Calibri" w:hAnsi="Calibri" w:cs="Times New Roman"/>
          <w:sz w:val="24"/>
          <w:szCs w:val="24"/>
        </w:rPr>
        <w:t>. The Om45-GFP complex is</w:t>
      </w:r>
      <w:r w:rsidR="005C7266" w:rsidRPr="00032BB2">
        <w:rPr>
          <w:rFonts w:ascii="Calibri" w:hAnsi="Calibri" w:cs="Times New Roman"/>
          <w:sz w:val="24"/>
          <w:szCs w:val="24"/>
        </w:rPr>
        <w:t xml:space="preserve"> then broken down</w:t>
      </w:r>
      <w:r w:rsidR="0039603C" w:rsidRPr="00032BB2">
        <w:rPr>
          <w:rFonts w:ascii="Calibri" w:hAnsi="Calibri" w:cs="Times New Roman"/>
          <w:sz w:val="24"/>
          <w:szCs w:val="24"/>
        </w:rPr>
        <w:t>.</w:t>
      </w:r>
      <w:r w:rsidR="005C7266" w:rsidRPr="00032BB2">
        <w:rPr>
          <w:rFonts w:ascii="Calibri" w:hAnsi="Calibri" w:cs="Times New Roman"/>
          <w:sz w:val="24"/>
          <w:szCs w:val="24"/>
        </w:rPr>
        <w:t xml:space="preserve"> GFP is stable within the vacuole, so it is released as an in</w:t>
      </w:r>
      <w:r w:rsidR="00FF26D5" w:rsidRPr="00032BB2">
        <w:rPr>
          <w:rFonts w:ascii="Calibri" w:hAnsi="Calibri" w:cs="Times New Roman"/>
          <w:sz w:val="24"/>
          <w:szCs w:val="24"/>
        </w:rPr>
        <w:t>-</w:t>
      </w:r>
      <w:r w:rsidR="005C7266" w:rsidRPr="00032BB2">
        <w:rPr>
          <w:rFonts w:ascii="Calibri" w:hAnsi="Calibri" w:cs="Times New Roman"/>
          <w:sz w:val="24"/>
          <w:szCs w:val="24"/>
        </w:rPr>
        <w:t>tact protein.</w:t>
      </w:r>
      <w:r w:rsidR="0039603C" w:rsidRPr="00032BB2">
        <w:rPr>
          <w:rFonts w:ascii="Calibri" w:hAnsi="Calibri" w:cs="Times New Roman"/>
          <w:sz w:val="24"/>
          <w:szCs w:val="24"/>
        </w:rPr>
        <w:t xml:space="preserve"> </w:t>
      </w:r>
      <w:r w:rsidR="006D5F02" w:rsidRPr="00032BB2">
        <w:rPr>
          <w:rFonts w:ascii="Calibri" w:hAnsi="Calibri" w:cs="Times New Roman"/>
          <w:sz w:val="24"/>
          <w:szCs w:val="24"/>
        </w:rPr>
        <w:t xml:space="preserve">The level of GFP processed is correlated to the level of </w:t>
      </w:r>
      <w:proofErr w:type="spellStart"/>
      <w:r w:rsidR="006D5F02"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="006D5F02" w:rsidRPr="00032BB2">
        <w:rPr>
          <w:rFonts w:ascii="Calibri" w:hAnsi="Calibri" w:cs="Times New Roman"/>
          <w:sz w:val="24"/>
          <w:szCs w:val="24"/>
        </w:rPr>
        <w:t xml:space="preserve"> that the cell underwent. The way that Aoki et al measured the level of GFP is explained in II.B.</w:t>
      </w:r>
    </w:p>
    <w:p w:rsidR="006D5F02" w:rsidRPr="00032BB2" w:rsidRDefault="006D5F02" w:rsidP="0039603C">
      <w:pPr>
        <w:rPr>
          <w:rFonts w:ascii="Calibri" w:hAnsi="Calibri" w:cs="Times New Roman"/>
          <w:sz w:val="24"/>
          <w:szCs w:val="24"/>
        </w:rPr>
      </w:pPr>
      <w:r w:rsidRPr="00032BB2">
        <w:rPr>
          <w:rFonts w:ascii="Calibri" w:hAnsi="Calibri" w:cs="Times New Roman"/>
          <w:sz w:val="24"/>
          <w:szCs w:val="24"/>
        </w:rPr>
        <w:t>II.B Western Blot</w:t>
      </w:r>
      <w:r w:rsidR="00941291" w:rsidRPr="00032BB2">
        <w:rPr>
          <w:rFonts w:ascii="Calibri" w:hAnsi="Calibri"/>
          <w:noProof/>
        </w:rPr>
        <w:t xml:space="preserve"> </w:t>
      </w:r>
    </w:p>
    <w:p w:rsidR="00D21A98" w:rsidRDefault="00D21A98" w:rsidP="0039603C">
      <w:pPr>
        <w:rPr>
          <w:rFonts w:ascii="Calibri" w:hAnsi="Calibri" w:cs="Times New Roman"/>
          <w:sz w:val="24"/>
          <w:szCs w:val="24"/>
        </w:rPr>
      </w:pPr>
      <w:r w:rsidRPr="00032BB2">
        <w:rPr>
          <w:rFonts w:ascii="Calibri" w:hAnsi="Calibr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B0C7DE" wp14:editId="62F06D02">
                <wp:simplePos x="0" y="0"/>
                <wp:positionH relativeFrom="margin">
                  <wp:posOffset>3838575</wp:posOffset>
                </wp:positionH>
                <wp:positionV relativeFrom="paragraph">
                  <wp:posOffset>2682875</wp:posOffset>
                </wp:positionV>
                <wp:extent cx="2192655" cy="733425"/>
                <wp:effectExtent l="0" t="0" r="1714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8D4" w:rsidRPr="008B08D4" w:rsidRDefault="008B08D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08D4">
                              <w:rPr>
                                <w:b/>
                                <w:sz w:val="18"/>
                                <w:szCs w:val="18"/>
                              </w:rPr>
                              <w:t>Figure 3: Primary antigen and Secondary antigen binding on a specific target protein on the membrane.</w:t>
                            </w:r>
                            <w:r w:rsidR="006D60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This is pulled from reference #5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C7DE" id="_x0000_s1027" type="#_x0000_t202" style="position:absolute;margin-left:302.25pt;margin-top:211.25pt;width:172.65pt;height:5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">
                <v:textbox>
                  <w:txbxContent>
                    <w:p w:rsidR="008B08D4" w:rsidRPr="008B08D4" w:rsidRDefault="008B08D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08D4">
                        <w:rPr>
                          <w:b/>
                          <w:sz w:val="18"/>
                          <w:szCs w:val="18"/>
                        </w:rPr>
                        <w:t>Figure 3: Primary antigen and Secondary antigen binding on a specific target protein on the membrane.</w:t>
                      </w:r>
                      <w:r w:rsidR="006D60A9">
                        <w:rPr>
                          <w:b/>
                          <w:sz w:val="18"/>
                          <w:szCs w:val="18"/>
                        </w:rPr>
                        <w:t xml:space="preserve"> This is pulled from reference #5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2BB2">
        <w:rPr>
          <w:rFonts w:ascii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4761747" wp14:editId="1167CA40">
            <wp:simplePos x="0" y="0"/>
            <wp:positionH relativeFrom="margin">
              <wp:posOffset>4171315</wp:posOffset>
            </wp:positionH>
            <wp:positionV relativeFrom="paragraph">
              <wp:posOffset>826770</wp:posOffset>
            </wp:positionV>
            <wp:extent cx="1848485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370" y="21495"/>
                <wp:lineTo x="213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BB2" w:rsidRPr="00032BB2">
        <w:rPr>
          <w:rFonts w:ascii="Calibri" w:hAnsi="Calibr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5C6A95A" wp14:editId="415BD310">
                <wp:simplePos x="0" y="0"/>
                <wp:positionH relativeFrom="margin">
                  <wp:posOffset>3575685</wp:posOffset>
                </wp:positionH>
                <wp:positionV relativeFrom="paragraph">
                  <wp:posOffset>8255</wp:posOffset>
                </wp:positionV>
                <wp:extent cx="2360930" cy="695325"/>
                <wp:effectExtent l="0" t="0" r="22860" b="28575"/>
                <wp:wrapTight wrapText="bothSides">
                  <wp:wrapPolygon edited="0">
                    <wp:start x="0" y="0"/>
                    <wp:lineTo x="0" y="21896"/>
                    <wp:lineTo x="21635" y="21896"/>
                    <wp:lineTo x="2163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77A" w:rsidRPr="00D3077A" w:rsidRDefault="005203D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Figure 2: </w:t>
                            </w:r>
                            <w:r w:rsidR="008B08D4">
                              <w:rPr>
                                <w:b/>
                                <w:sz w:val="18"/>
                                <w:szCs w:val="18"/>
                              </w:rPr>
                              <w:t>Set-up of the western blot as described in section II.B. Membrane is sandwiched between the gel, filter paper, pads, and support grid.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6A95A" id="_x0000_s1028" type="#_x0000_t202" style="position:absolute;margin-left:281.55pt;margin-top:.65pt;width:185.9pt;height:54.75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">
                <v:textbox>
                  <w:txbxContent>
                    <w:p w:rsidR="00D3077A" w:rsidRPr="00D3077A" w:rsidRDefault="005203D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Figure 2: </w:t>
                      </w:r>
                      <w:r w:rsidR="008B08D4">
                        <w:rPr>
                          <w:b/>
                          <w:sz w:val="18"/>
                          <w:szCs w:val="18"/>
                        </w:rPr>
                        <w:t>Set-up of the western blot as described in section II.B. Membrane is sandwiched between the gel, filter paper, pads, and support grid.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E716F" w:rsidRPr="00032BB2">
        <w:rPr>
          <w:rFonts w:ascii="Calibri" w:hAnsi="Calibri" w:cs="Times New Roman"/>
          <w:sz w:val="24"/>
          <w:szCs w:val="24"/>
        </w:rPr>
        <w:t>Western blotting is an analytical technique that is used to detect for specific pr</w:t>
      </w:r>
      <w:r w:rsidR="00CB5A0A" w:rsidRPr="00032BB2">
        <w:rPr>
          <w:rFonts w:ascii="Calibri" w:hAnsi="Calibri" w:cs="Times New Roman"/>
          <w:sz w:val="24"/>
          <w:szCs w:val="24"/>
        </w:rPr>
        <w:t>oteins in a given sample</w:t>
      </w:r>
      <w:r w:rsidR="00357E70" w:rsidRPr="00032BB2">
        <w:rPr>
          <w:rFonts w:ascii="Calibri" w:hAnsi="Calibri" w:cs="Times New Roman"/>
          <w:sz w:val="24"/>
          <w:szCs w:val="24"/>
        </w:rPr>
        <w:t xml:space="preserve">. </w:t>
      </w:r>
      <w:r w:rsidR="008B08D4" w:rsidRPr="00032BB2">
        <w:rPr>
          <w:rFonts w:ascii="Calibri" w:hAnsi="Calibri" w:cs="Times New Roman"/>
          <w:sz w:val="24"/>
          <w:szCs w:val="24"/>
        </w:rPr>
        <w:t xml:space="preserve">An overview of the set-up for Western Blot can be seen in Figure 2. </w:t>
      </w:r>
      <w:r w:rsidR="00357E70" w:rsidRPr="00032BB2">
        <w:rPr>
          <w:rFonts w:ascii="Calibri" w:hAnsi="Calibri" w:cs="Times New Roman"/>
          <w:sz w:val="24"/>
          <w:szCs w:val="24"/>
        </w:rPr>
        <w:t xml:space="preserve">After the induction of </w:t>
      </w:r>
      <w:proofErr w:type="spellStart"/>
      <w:r w:rsidR="00357E70"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="00357E70" w:rsidRPr="00032BB2">
        <w:rPr>
          <w:rFonts w:ascii="Calibri" w:hAnsi="Calibri" w:cs="Times New Roman"/>
          <w:sz w:val="24"/>
          <w:szCs w:val="24"/>
        </w:rPr>
        <w:t xml:space="preserve">, </w:t>
      </w:r>
      <w:r w:rsidR="006D5F02" w:rsidRPr="00032BB2">
        <w:rPr>
          <w:rFonts w:ascii="Calibri" w:hAnsi="Calibri" w:cs="Times New Roman"/>
          <w:sz w:val="24"/>
          <w:szCs w:val="24"/>
        </w:rPr>
        <w:t xml:space="preserve">the </w:t>
      </w:r>
      <w:r w:rsidR="00FE716F" w:rsidRPr="00032BB2">
        <w:rPr>
          <w:rFonts w:ascii="Calibri" w:hAnsi="Calibri" w:cs="Times New Roman"/>
          <w:sz w:val="24"/>
          <w:szCs w:val="24"/>
        </w:rPr>
        <w:t xml:space="preserve">yeast </w:t>
      </w:r>
      <w:r w:rsidR="006D5F02" w:rsidRPr="00032BB2">
        <w:rPr>
          <w:rFonts w:ascii="Calibri" w:hAnsi="Calibri" w:cs="Times New Roman"/>
          <w:sz w:val="24"/>
          <w:szCs w:val="24"/>
        </w:rPr>
        <w:t>cells are lysed and t</w:t>
      </w:r>
      <w:r w:rsidR="00FE716F" w:rsidRPr="00032BB2">
        <w:rPr>
          <w:rFonts w:ascii="Calibri" w:hAnsi="Calibri" w:cs="Times New Roman"/>
          <w:sz w:val="24"/>
          <w:szCs w:val="24"/>
        </w:rPr>
        <w:t>he contents of each of the individual</w:t>
      </w:r>
      <w:r w:rsidR="006D5F02" w:rsidRPr="00032BB2">
        <w:rPr>
          <w:rFonts w:ascii="Calibri" w:hAnsi="Calibri" w:cs="Times New Roman"/>
          <w:sz w:val="24"/>
          <w:szCs w:val="24"/>
        </w:rPr>
        <w:t xml:space="preserve"> cell</w:t>
      </w:r>
      <w:r w:rsidR="00FE716F" w:rsidRPr="00032BB2">
        <w:rPr>
          <w:rFonts w:ascii="Calibri" w:hAnsi="Calibri" w:cs="Times New Roman"/>
          <w:sz w:val="24"/>
          <w:szCs w:val="24"/>
        </w:rPr>
        <w:t>s are</w:t>
      </w:r>
      <w:r w:rsidR="006D5F02" w:rsidRPr="00032BB2">
        <w:rPr>
          <w:rFonts w:ascii="Calibri" w:hAnsi="Calibri" w:cs="Times New Roman"/>
          <w:sz w:val="24"/>
          <w:szCs w:val="24"/>
        </w:rPr>
        <w:t xml:space="preserve"> then collected. T</w:t>
      </w:r>
      <w:r w:rsidR="00357E70" w:rsidRPr="00032BB2">
        <w:rPr>
          <w:rFonts w:ascii="Calibri" w:hAnsi="Calibri" w:cs="Times New Roman"/>
          <w:sz w:val="24"/>
          <w:szCs w:val="24"/>
        </w:rPr>
        <w:t>he samples are then put on</w:t>
      </w:r>
      <w:r w:rsidR="00FE716F" w:rsidRPr="00032BB2">
        <w:rPr>
          <w:rFonts w:ascii="Calibri" w:hAnsi="Calibri" w:cs="Times New Roman"/>
          <w:sz w:val="24"/>
          <w:szCs w:val="24"/>
        </w:rPr>
        <w:t xml:space="preserve"> a gel and electricity is run through the gel, which separates the proteins based on size (gel electrophoresis)</w:t>
      </w:r>
      <w:r w:rsidR="0054438A" w:rsidRPr="00032BB2">
        <w:rPr>
          <w:rFonts w:ascii="Calibri" w:hAnsi="Calibri" w:cs="Times New Roman"/>
          <w:sz w:val="24"/>
          <w:szCs w:val="24"/>
        </w:rPr>
        <w:t xml:space="preserve">. </w:t>
      </w:r>
      <w:r w:rsidR="00FE716F" w:rsidRPr="00032BB2">
        <w:rPr>
          <w:rFonts w:ascii="Calibri" w:hAnsi="Calibri" w:cs="Times New Roman"/>
          <w:sz w:val="24"/>
          <w:szCs w:val="24"/>
        </w:rPr>
        <w:t>After the proteins are separated, they then have to be transferred over to a membrane and sandwiched</w:t>
      </w:r>
      <w:r w:rsidR="008B08D4" w:rsidRPr="00032BB2">
        <w:rPr>
          <w:rFonts w:ascii="Calibri" w:hAnsi="Calibri" w:cs="Times New Roman"/>
          <w:sz w:val="24"/>
          <w:szCs w:val="24"/>
        </w:rPr>
        <w:t xml:space="preserve"> like in the diagram in Figure 2</w:t>
      </w:r>
      <w:r w:rsidR="00FE716F" w:rsidRPr="00032BB2">
        <w:rPr>
          <w:rFonts w:ascii="Calibri" w:hAnsi="Calibri" w:cs="Times New Roman"/>
          <w:sz w:val="24"/>
          <w:szCs w:val="24"/>
        </w:rPr>
        <w:t xml:space="preserve">. </w:t>
      </w:r>
      <w:r w:rsidR="004B67E1" w:rsidRPr="00032BB2">
        <w:rPr>
          <w:rFonts w:ascii="Calibri" w:hAnsi="Calibri" w:cs="Times New Roman"/>
          <w:sz w:val="24"/>
          <w:szCs w:val="24"/>
        </w:rPr>
        <w:t xml:space="preserve">The empty nodes in the membrane have to be blocked with casein, a protein buffer that stops antibodies from attaching. </w:t>
      </w:r>
      <w:r w:rsidR="00CB5A0A" w:rsidRPr="00032BB2">
        <w:rPr>
          <w:rFonts w:ascii="Calibri" w:hAnsi="Calibri" w:cs="Times New Roman"/>
          <w:sz w:val="24"/>
          <w:szCs w:val="24"/>
        </w:rPr>
        <w:t xml:space="preserve">When the current is run through again, the proteins will move onto the membrane in the same order that they were in the gel. </w:t>
      </w:r>
    </w:p>
    <w:p w:rsidR="00D21A98" w:rsidRDefault="00CB5A0A" w:rsidP="00D21A98">
      <w:pPr>
        <w:rPr>
          <w:rFonts w:ascii="Calibri" w:hAnsi="Calibri" w:cs="Times New Roman"/>
          <w:sz w:val="24"/>
          <w:szCs w:val="24"/>
        </w:rPr>
      </w:pPr>
      <w:r w:rsidRPr="00032BB2">
        <w:rPr>
          <w:rFonts w:ascii="Calibri" w:hAnsi="Calibri" w:cs="Times New Roman"/>
          <w:sz w:val="24"/>
          <w:szCs w:val="24"/>
        </w:rPr>
        <w:t xml:space="preserve">Aoki et al used a primary antibody called anti-GFP in order to detect the specific protein being monitored. The antibodies will attach themselves to any GFP protein on the membrane. A second dyed anti-body is then used that will attach to the primary antibody. </w:t>
      </w:r>
      <w:r w:rsidR="001E30A9" w:rsidRPr="00032BB2">
        <w:rPr>
          <w:rFonts w:ascii="Calibri" w:hAnsi="Calibri" w:cs="Times New Roman"/>
          <w:sz w:val="24"/>
          <w:szCs w:val="24"/>
        </w:rPr>
        <w:t xml:space="preserve">An example of how this </w:t>
      </w:r>
      <w:r w:rsidR="008B08D4" w:rsidRPr="00032BB2">
        <w:rPr>
          <w:rFonts w:ascii="Calibri" w:hAnsi="Calibri" w:cs="Times New Roman"/>
          <w:sz w:val="24"/>
          <w:szCs w:val="24"/>
        </w:rPr>
        <w:t>is done is shown in Figure 3</w:t>
      </w:r>
      <w:r w:rsidR="001E30A9" w:rsidRPr="00032BB2">
        <w:rPr>
          <w:rFonts w:ascii="Calibri" w:hAnsi="Calibri" w:cs="Times New Roman"/>
          <w:sz w:val="24"/>
          <w:szCs w:val="24"/>
        </w:rPr>
        <w:t>.</w:t>
      </w:r>
      <w:r w:rsidRPr="00032BB2">
        <w:rPr>
          <w:rFonts w:ascii="Calibri" w:hAnsi="Calibri" w:cs="Times New Roman"/>
          <w:sz w:val="24"/>
          <w:szCs w:val="24"/>
        </w:rPr>
        <w:t>The amount of</w:t>
      </w:r>
      <w:r w:rsidR="0054438A" w:rsidRPr="00032BB2">
        <w:rPr>
          <w:rFonts w:ascii="Calibri" w:hAnsi="Calibri" w:cs="Times New Roman"/>
          <w:sz w:val="24"/>
          <w:szCs w:val="24"/>
        </w:rPr>
        <w:t xml:space="preserve"> GFP</w:t>
      </w:r>
      <w:r w:rsidRPr="00032BB2">
        <w:rPr>
          <w:rFonts w:ascii="Calibri" w:hAnsi="Calibri" w:cs="Times New Roman"/>
          <w:sz w:val="24"/>
          <w:szCs w:val="24"/>
        </w:rPr>
        <w:t xml:space="preserve"> processed</w:t>
      </w:r>
      <w:r w:rsidR="0054438A" w:rsidRPr="00032BB2">
        <w:rPr>
          <w:rFonts w:ascii="Calibri" w:hAnsi="Calibri" w:cs="Times New Roman"/>
          <w:sz w:val="24"/>
          <w:szCs w:val="24"/>
        </w:rPr>
        <w:t xml:space="preserve"> </w:t>
      </w:r>
      <w:r w:rsidRPr="00032BB2">
        <w:rPr>
          <w:rFonts w:ascii="Calibri" w:hAnsi="Calibri" w:cs="Times New Roman"/>
          <w:sz w:val="24"/>
          <w:szCs w:val="24"/>
        </w:rPr>
        <w:t>was then</w:t>
      </w:r>
      <w:r w:rsidR="0054438A" w:rsidRPr="00032BB2">
        <w:rPr>
          <w:rFonts w:ascii="Calibri" w:hAnsi="Calibri" w:cs="Times New Roman"/>
          <w:sz w:val="24"/>
          <w:szCs w:val="24"/>
        </w:rPr>
        <w:t xml:space="preserve"> detected as bands that migrated from the Om45-GFP band. </w:t>
      </w:r>
      <w:r w:rsidR="00FF26D5" w:rsidRPr="00032BB2">
        <w:rPr>
          <w:rFonts w:ascii="Calibri" w:hAnsi="Calibri" w:cs="Times New Roman"/>
          <w:sz w:val="24"/>
          <w:szCs w:val="24"/>
        </w:rPr>
        <w:t xml:space="preserve">Only properly processed GFP migrated from the Om45-GFP band. </w:t>
      </w:r>
      <w:r w:rsidR="0039603C" w:rsidRPr="00032BB2">
        <w:rPr>
          <w:rFonts w:ascii="Calibri" w:hAnsi="Calibri" w:cs="Times New Roman"/>
          <w:sz w:val="24"/>
          <w:szCs w:val="24"/>
        </w:rPr>
        <w:t>By measuring the levels of GFP processed</w:t>
      </w:r>
      <w:r w:rsidRPr="00032BB2">
        <w:rPr>
          <w:rFonts w:ascii="Calibri" w:hAnsi="Calibri" w:cs="Times New Roman"/>
          <w:sz w:val="24"/>
          <w:szCs w:val="24"/>
        </w:rPr>
        <w:t xml:space="preserve"> from Om45-GFP, Aoki et al was</w:t>
      </w:r>
      <w:r w:rsidR="006C67BC" w:rsidRPr="00032BB2">
        <w:rPr>
          <w:rFonts w:ascii="Calibri" w:hAnsi="Calibri" w:cs="Times New Roman"/>
          <w:sz w:val="24"/>
          <w:szCs w:val="24"/>
        </w:rPr>
        <w:t xml:space="preserve"> able to correlate that</w:t>
      </w:r>
      <w:r w:rsidRPr="00032BB2">
        <w:rPr>
          <w:rFonts w:ascii="Calibri" w:hAnsi="Calibri" w:cs="Times New Roman"/>
          <w:sz w:val="24"/>
          <w:szCs w:val="24"/>
        </w:rPr>
        <w:t xml:space="preserve"> measurement</w:t>
      </w:r>
      <w:r w:rsidR="006C67BC" w:rsidRPr="00032BB2">
        <w:rPr>
          <w:rFonts w:ascii="Calibri" w:hAnsi="Calibri" w:cs="Times New Roman"/>
          <w:sz w:val="24"/>
          <w:szCs w:val="24"/>
        </w:rPr>
        <w:t xml:space="preserve"> to levels of </w:t>
      </w:r>
      <w:proofErr w:type="spellStart"/>
      <w:r w:rsidR="006C67BC"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="004B67E1" w:rsidRPr="00032BB2">
        <w:rPr>
          <w:rFonts w:ascii="Calibri" w:hAnsi="Calibri" w:cs="Times New Roman"/>
          <w:sz w:val="24"/>
          <w:szCs w:val="24"/>
        </w:rPr>
        <w:t xml:space="preserve"> in the yeast cell</w:t>
      </w:r>
      <w:r w:rsidR="0039603C" w:rsidRPr="00032BB2">
        <w:rPr>
          <w:rFonts w:ascii="Calibri" w:hAnsi="Calibri" w:cs="Times New Roman"/>
          <w:sz w:val="24"/>
          <w:szCs w:val="24"/>
        </w:rPr>
        <w:t>.</w:t>
      </w:r>
      <w:r w:rsidR="006A1D51" w:rsidRPr="00032BB2">
        <w:rPr>
          <w:rFonts w:ascii="Calibri" w:hAnsi="Calibri" w:cs="Times New Roman"/>
          <w:sz w:val="24"/>
          <w:szCs w:val="24"/>
        </w:rPr>
        <w:t xml:space="preserve"> </w:t>
      </w:r>
    </w:p>
    <w:p w:rsidR="00D21A98" w:rsidRPr="00D21A98" w:rsidRDefault="00D21A98" w:rsidP="00D21A98">
      <w:pPr>
        <w:rPr>
          <w:rFonts w:ascii="Calibri" w:hAnsi="Calibri" w:cs="Times New Roman"/>
          <w:sz w:val="24"/>
          <w:szCs w:val="24"/>
        </w:rPr>
      </w:pPr>
      <w:r w:rsidRPr="00032BB2">
        <w:rPr>
          <w:rFonts w:ascii="Calibri" w:hAnsi="Calibri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83B329" wp14:editId="2D7D0CB4">
                <wp:simplePos x="0" y="0"/>
                <wp:positionH relativeFrom="margin">
                  <wp:posOffset>200025</wp:posOffset>
                </wp:positionH>
                <wp:positionV relativeFrom="paragraph">
                  <wp:posOffset>1565910</wp:posOffset>
                </wp:positionV>
                <wp:extent cx="2343150" cy="9715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DE" w:rsidRPr="008E36DE" w:rsidRDefault="008E36D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E36D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Figure 4. Western blot of the results from the Om45-GFP Processing Assay performed by Aoki et al. The dark bands represent the number of GFP in-tact, which correlates to levels of </w:t>
                            </w:r>
                            <w:proofErr w:type="spellStart"/>
                            <w:r w:rsidRPr="008E36DE">
                              <w:rPr>
                                <w:b/>
                                <w:sz w:val="18"/>
                                <w:szCs w:val="18"/>
                              </w:rPr>
                              <w:t>mitophagy</w:t>
                            </w:r>
                            <w:proofErr w:type="spellEnd"/>
                            <w:r w:rsidRPr="008E36D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in cell. The darker the band, the higher level of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B329" id="_x0000_s1029" type="#_x0000_t202" style="position:absolute;margin-left:15.75pt;margin-top:123.3pt;width:184.5pt;height:7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">
                <v:textbox>
                  <w:txbxContent>
                    <w:p w:rsidR="008E36DE" w:rsidRPr="008E36DE" w:rsidRDefault="008E36D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E36DE">
                        <w:rPr>
                          <w:b/>
                          <w:sz w:val="18"/>
                          <w:szCs w:val="18"/>
                        </w:rPr>
                        <w:t xml:space="preserve">Figure 4. Western blot of the results from the Om45-GFP Processing Assay performed by Aoki et al. The dark bands represent the number of GFP in-tact, which correlates to levels of </w:t>
                      </w:r>
                      <w:proofErr w:type="spellStart"/>
                      <w:r w:rsidRPr="008E36DE">
                        <w:rPr>
                          <w:b/>
                          <w:sz w:val="18"/>
                          <w:szCs w:val="18"/>
                        </w:rPr>
                        <w:t>mitophagy</w:t>
                      </w:r>
                      <w:proofErr w:type="spellEnd"/>
                      <w:r w:rsidRPr="008E36DE">
                        <w:rPr>
                          <w:b/>
                          <w:sz w:val="18"/>
                          <w:szCs w:val="18"/>
                        </w:rPr>
                        <w:t xml:space="preserve"> in cell. The darker the band, the higher level of activity.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2BB2">
        <w:rPr>
          <w:rFonts w:ascii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15D22F1" wp14:editId="5D125150">
            <wp:simplePos x="0" y="0"/>
            <wp:positionH relativeFrom="margin">
              <wp:posOffset>-102870</wp:posOffset>
            </wp:positionH>
            <wp:positionV relativeFrom="paragraph">
              <wp:posOffset>13335</wp:posOffset>
            </wp:positionV>
            <wp:extent cx="26574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23" y="21340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08D4" w:rsidRPr="00032BB2">
        <w:rPr>
          <w:rFonts w:ascii="Calibri" w:hAnsi="Calibri" w:cs="Times New Roman"/>
          <w:sz w:val="24"/>
          <w:szCs w:val="24"/>
        </w:rPr>
        <w:t>What Aoki et al (2011)</w:t>
      </w:r>
      <w:r w:rsidR="006A1D51" w:rsidRPr="00032BB2">
        <w:rPr>
          <w:rFonts w:ascii="Calibri" w:hAnsi="Calibri" w:cs="Times New Roman"/>
          <w:sz w:val="24"/>
          <w:szCs w:val="24"/>
        </w:rPr>
        <w:t xml:space="preserve"> observed </w:t>
      </w:r>
      <w:r w:rsidR="0039603C" w:rsidRPr="00032BB2">
        <w:rPr>
          <w:rFonts w:ascii="Calibri" w:hAnsi="Calibri" w:cs="Times New Roman"/>
          <w:sz w:val="24"/>
          <w:szCs w:val="24"/>
        </w:rPr>
        <w:t>was that the wild-type yeast cells had</w:t>
      </w:r>
      <w:r w:rsidR="006A1D51" w:rsidRPr="00032BB2">
        <w:rPr>
          <w:rFonts w:ascii="Calibri" w:hAnsi="Calibri" w:cs="Times New Roman"/>
          <w:sz w:val="24"/>
          <w:szCs w:val="24"/>
        </w:rPr>
        <w:t xml:space="preserve"> a darker band in the gel, which indicated</w:t>
      </w:r>
      <w:r w:rsidR="004B67E1" w:rsidRPr="00032BB2">
        <w:rPr>
          <w:rFonts w:ascii="Calibri" w:hAnsi="Calibri" w:cs="Times New Roman"/>
          <w:sz w:val="24"/>
          <w:szCs w:val="24"/>
        </w:rPr>
        <w:t xml:space="preserve"> high levels of GFP protein in-tact</w:t>
      </w:r>
      <w:r w:rsidR="0039603C" w:rsidRPr="00032BB2">
        <w:rPr>
          <w:rFonts w:ascii="Calibri" w:hAnsi="Calibri" w:cs="Times New Roman"/>
          <w:sz w:val="24"/>
          <w:szCs w:val="24"/>
        </w:rPr>
        <w:t>. The</w:t>
      </w:r>
      <w:r w:rsidR="006A1D51" w:rsidRPr="00032BB2">
        <w:rPr>
          <w:rFonts w:ascii="Calibri" w:hAnsi="Calibri" w:cs="Times New Roman"/>
          <w:sz w:val="24"/>
          <w:szCs w:val="24"/>
        </w:rPr>
        <w:t xml:space="preserve">y observed a lighter band in the gel for </w:t>
      </w:r>
      <w:r w:rsidR="0039603C" w:rsidRPr="00032BB2">
        <w:rPr>
          <w:rFonts w:ascii="Calibri" w:hAnsi="Calibri" w:cs="Times New Roman"/>
          <w:sz w:val="24"/>
          <w:szCs w:val="24"/>
        </w:rPr>
        <w:t>Ser-119 deficient</w:t>
      </w:r>
      <w:r w:rsidR="006A1D51" w:rsidRPr="00032BB2">
        <w:rPr>
          <w:rFonts w:ascii="Calibri" w:hAnsi="Calibri" w:cs="Times New Roman"/>
          <w:sz w:val="24"/>
          <w:szCs w:val="24"/>
        </w:rPr>
        <w:t>, which</w:t>
      </w:r>
      <w:r w:rsidR="0039603C" w:rsidRPr="00032BB2">
        <w:rPr>
          <w:rFonts w:ascii="Calibri" w:hAnsi="Calibri" w:cs="Times New Roman"/>
          <w:sz w:val="24"/>
          <w:szCs w:val="24"/>
        </w:rPr>
        <w:t xml:space="preserve"> </w:t>
      </w:r>
      <w:r w:rsidR="004B67E1" w:rsidRPr="00032BB2">
        <w:rPr>
          <w:rFonts w:ascii="Calibri" w:hAnsi="Calibri" w:cs="Times New Roman"/>
          <w:sz w:val="24"/>
          <w:szCs w:val="24"/>
        </w:rPr>
        <w:t>meant</w:t>
      </w:r>
      <w:r w:rsidR="006A1D51" w:rsidRPr="00032BB2">
        <w:rPr>
          <w:rFonts w:ascii="Calibri" w:hAnsi="Calibri" w:cs="Times New Roman"/>
          <w:sz w:val="24"/>
          <w:szCs w:val="24"/>
        </w:rPr>
        <w:t xml:space="preserve"> less </w:t>
      </w:r>
      <w:r w:rsidR="004B67E1" w:rsidRPr="00032BB2">
        <w:rPr>
          <w:rFonts w:ascii="Calibri" w:hAnsi="Calibri" w:cs="Times New Roman"/>
          <w:sz w:val="24"/>
          <w:szCs w:val="24"/>
        </w:rPr>
        <w:t>GFP processed compared to</w:t>
      </w:r>
      <w:r w:rsidR="0039603C" w:rsidRPr="00032BB2">
        <w:rPr>
          <w:rFonts w:ascii="Calibri" w:hAnsi="Calibri" w:cs="Times New Roman"/>
          <w:sz w:val="24"/>
          <w:szCs w:val="24"/>
        </w:rPr>
        <w:t xml:space="preserve"> the wild-type. The yeast cells with Ser-114 deficiency and with both Ser-1</w:t>
      </w:r>
      <w:r w:rsidR="006A1D51" w:rsidRPr="00032BB2">
        <w:rPr>
          <w:rFonts w:ascii="Calibri" w:hAnsi="Calibri" w:cs="Times New Roman"/>
          <w:sz w:val="24"/>
          <w:szCs w:val="24"/>
        </w:rPr>
        <w:t xml:space="preserve">14 and Ser-119 deficiency had no band shown, indicating that none </w:t>
      </w:r>
      <w:r w:rsidR="008B08D4" w:rsidRPr="00032BB2">
        <w:rPr>
          <w:rFonts w:ascii="Calibri" w:hAnsi="Calibri" w:cs="Times New Roman"/>
          <w:sz w:val="24"/>
          <w:szCs w:val="24"/>
        </w:rPr>
        <w:t>to very little GFP was in-tact</w:t>
      </w:r>
      <w:r w:rsidR="0039603C" w:rsidRPr="00032BB2">
        <w:rPr>
          <w:rFonts w:ascii="Calibri" w:hAnsi="Calibri" w:cs="Times New Roman"/>
          <w:sz w:val="24"/>
          <w:szCs w:val="24"/>
        </w:rPr>
        <w:t xml:space="preserve">. </w:t>
      </w:r>
      <w:r w:rsidR="005203DB" w:rsidRPr="00032BB2">
        <w:rPr>
          <w:rFonts w:ascii="Calibri" w:hAnsi="Calibri" w:cs="Times New Roman"/>
          <w:sz w:val="24"/>
          <w:szCs w:val="24"/>
        </w:rPr>
        <w:t>These bands corresponding to each g</w:t>
      </w:r>
      <w:r w:rsidR="008B08D4" w:rsidRPr="00032BB2">
        <w:rPr>
          <w:rFonts w:ascii="Calibri" w:hAnsi="Calibri" w:cs="Times New Roman"/>
          <w:sz w:val="24"/>
          <w:szCs w:val="24"/>
        </w:rPr>
        <w:t>roup can be all seen in Figure 4</w:t>
      </w:r>
      <w:r w:rsidR="005203DB" w:rsidRPr="00032BB2">
        <w:rPr>
          <w:rFonts w:ascii="Calibri" w:hAnsi="Calibri" w:cs="Times New Roman"/>
          <w:sz w:val="24"/>
          <w:szCs w:val="24"/>
        </w:rPr>
        <w:t>.</w:t>
      </w:r>
    </w:p>
    <w:p w:rsidR="00D21A98" w:rsidRPr="00D21A98" w:rsidRDefault="00D21A98" w:rsidP="00D21A98">
      <w:pPr>
        <w:ind w:left="360"/>
        <w:rPr>
          <w:rFonts w:ascii="Calibri" w:hAnsi="Calibri" w:cs="Times New Roman"/>
          <w:b/>
          <w:sz w:val="24"/>
          <w:szCs w:val="24"/>
        </w:rPr>
      </w:pPr>
    </w:p>
    <w:p w:rsidR="00415391" w:rsidRPr="00032BB2" w:rsidRDefault="00415391" w:rsidP="00D05239">
      <w:pPr>
        <w:pStyle w:val="ListParagraph"/>
        <w:numPr>
          <w:ilvl w:val="0"/>
          <w:numId w:val="2"/>
        </w:numPr>
        <w:rPr>
          <w:rFonts w:ascii="Calibri" w:hAnsi="Calibri" w:cs="Times New Roman"/>
          <w:b/>
          <w:sz w:val="24"/>
          <w:szCs w:val="24"/>
        </w:rPr>
      </w:pPr>
      <w:r w:rsidRPr="00032BB2">
        <w:rPr>
          <w:rFonts w:ascii="Calibri" w:hAnsi="Calibri" w:cs="Times New Roman"/>
          <w:b/>
          <w:sz w:val="24"/>
          <w:szCs w:val="24"/>
        </w:rPr>
        <w:t>Discussion</w:t>
      </w:r>
    </w:p>
    <w:p w:rsidR="00FA4ECC" w:rsidRPr="00032BB2" w:rsidRDefault="00FA4ECC" w:rsidP="00415391">
      <w:pPr>
        <w:rPr>
          <w:rFonts w:ascii="Calibri" w:hAnsi="Calibri" w:cs="Times New Roman"/>
          <w:sz w:val="24"/>
          <w:szCs w:val="24"/>
        </w:rPr>
      </w:pPr>
      <w:r w:rsidRPr="00032BB2">
        <w:rPr>
          <w:rFonts w:ascii="Calibri" w:hAnsi="Calibri" w:cs="Times New Roman"/>
          <w:sz w:val="24"/>
          <w:szCs w:val="24"/>
        </w:rPr>
        <w:t>If all goes well and my prediction</w:t>
      </w:r>
      <w:r w:rsidR="004B369A" w:rsidRPr="00032BB2">
        <w:rPr>
          <w:rFonts w:ascii="Calibri" w:hAnsi="Calibri" w:cs="Times New Roman"/>
          <w:sz w:val="24"/>
          <w:szCs w:val="24"/>
        </w:rPr>
        <w:t>s</w:t>
      </w:r>
      <w:r w:rsidRPr="00032BB2">
        <w:rPr>
          <w:rFonts w:ascii="Calibri" w:hAnsi="Calibri" w:cs="Times New Roman"/>
          <w:sz w:val="24"/>
          <w:szCs w:val="24"/>
        </w:rPr>
        <w:t xml:space="preserve"> are correct, high levels of</w:t>
      </w:r>
      <w:r w:rsidR="008F3FF7" w:rsidRPr="00032BB2">
        <w:rPr>
          <w:rFonts w:ascii="Calibri" w:hAnsi="Calibri" w:cs="Times New Roman"/>
          <w:sz w:val="24"/>
          <w:szCs w:val="24"/>
        </w:rPr>
        <w:t xml:space="preserve"> net</w:t>
      </w:r>
      <w:r w:rsidRPr="00032BB2">
        <w:rPr>
          <w:rFonts w:ascii="Calibri" w:hAnsi="Calibri" w:cs="Times New Roman"/>
          <w:sz w:val="24"/>
          <w:szCs w:val="24"/>
        </w:rPr>
        <w:t xml:space="preserve"> </w:t>
      </w:r>
      <w:r w:rsidR="008F3FF7" w:rsidRPr="00032BB2">
        <w:rPr>
          <w:rFonts w:ascii="Calibri" w:hAnsi="Calibri" w:cs="Times New Roman"/>
          <w:sz w:val="24"/>
          <w:szCs w:val="24"/>
        </w:rPr>
        <w:t xml:space="preserve">oxidative stress due to ethanol </w:t>
      </w:r>
      <w:r w:rsidRPr="00032BB2">
        <w:rPr>
          <w:rFonts w:ascii="Calibri" w:hAnsi="Calibri" w:cs="Times New Roman"/>
          <w:sz w:val="24"/>
          <w:szCs w:val="24"/>
        </w:rPr>
        <w:t>exposure will</w:t>
      </w:r>
      <w:r w:rsidR="006D36A1" w:rsidRPr="00032BB2">
        <w:rPr>
          <w:rFonts w:ascii="Calibri" w:hAnsi="Calibri" w:cs="Times New Roman"/>
          <w:sz w:val="24"/>
          <w:szCs w:val="24"/>
        </w:rPr>
        <w:t xml:space="preserve"> cause a decrease </w:t>
      </w:r>
      <w:r w:rsidR="008F3FF7" w:rsidRPr="00032BB2">
        <w:rPr>
          <w:rFonts w:ascii="Calibri" w:hAnsi="Calibri" w:cs="Times New Roman"/>
          <w:sz w:val="24"/>
          <w:szCs w:val="24"/>
        </w:rPr>
        <w:t>lev</w:t>
      </w:r>
      <w:r w:rsidR="00D338DA" w:rsidRPr="00032BB2">
        <w:rPr>
          <w:rFonts w:ascii="Calibri" w:hAnsi="Calibri" w:cs="Times New Roman"/>
          <w:sz w:val="24"/>
          <w:szCs w:val="24"/>
        </w:rPr>
        <w:t>els of GFP processing, which could mean that there is a decrease in</w:t>
      </w:r>
      <w:r w:rsidR="008F3FF7" w:rsidRPr="00032BB2">
        <w:rPr>
          <w:rFonts w:ascii="Calibri" w:hAnsi="Calibri" w:cs="Times New Roman"/>
          <w:sz w:val="24"/>
          <w:szCs w:val="24"/>
        </w:rPr>
        <w:t xml:space="preserve"> levels of </w:t>
      </w:r>
      <w:proofErr w:type="spellStart"/>
      <w:r w:rsidR="008F3FF7"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="006D36A1" w:rsidRPr="00032BB2">
        <w:rPr>
          <w:rFonts w:ascii="Calibri" w:hAnsi="Calibri" w:cs="Times New Roman"/>
          <w:sz w:val="24"/>
          <w:szCs w:val="24"/>
        </w:rPr>
        <w:t>.</w:t>
      </w:r>
      <w:r w:rsidRPr="00032BB2">
        <w:rPr>
          <w:rFonts w:ascii="Calibri" w:hAnsi="Calibri" w:cs="Times New Roman"/>
          <w:sz w:val="24"/>
          <w:szCs w:val="24"/>
        </w:rPr>
        <w:t xml:space="preserve"> </w:t>
      </w:r>
      <w:r w:rsidR="006D36A1" w:rsidRPr="00032BB2">
        <w:rPr>
          <w:rFonts w:ascii="Calibri" w:hAnsi="Calibri" w:cs="Times New Roman"/>
          <w:sz w:val="24"/>
          <w:szCs w:val="24"/>
        </w:rPr>
        <w:t>T</w:t>
      </w:r>
      <w:r w:rsidRPr="00032BB2">
        <w:rPr>
          <w:rFonts w:ascii="Calibri" w:hAnsi="Calibri" w:cs="Times New Roman"/>
          <w:sz w:val="24"/>
          <w:szCs w:val="24"/>
        </w:rPr>
        <w:t xml:space="preserve">his data could be used to provide a greater link between the development of dementia and long-term alcohol consumption. </w:t>
      </w:r>
    </w:p>
    <w:p w:rsidR="00B67D28" w:rsidRPr="00032BB2" w:rsidRDefault="00B67D28" w:rsidP="00415391">
      <w:pPr>
        <w:rPr>
          <w:rFonts w:ascii="Calibri" w:hAnsi="Calibri" w:cs="Times New Roman"/>
          <w:sz w:val="24"/>
          <w:szCs w:val="24"/>
        </w:rPr>
      </w:pPr>
      <w:r w:rsidRPr="00032BB2">
        <w:rPr>
          <w:rFonts w:ascii="Calibri" w:hAnsi="Calibri" w:cs="Times New Roman"/>
          <w:sz w:val="24"/>
          <w:szCs w:val="24"/>
        </w:rPr>
        <w:t xml:space="preserve">The biggest problem behind this experiment is that there is very little knowledge about the specific mechanisms of </w:t>
      </w:r>
      <w:proofErr w:type="spellStart"/>
      <w:r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Pr="00032BB2">
        <w:rPr>
          <w:rFonts w:ascii="Calibri" w:hAnsi="Calibri" w:cs="Times New Roman"/>
          <w:sz w:val="24"/>
          <w:szCs w:val="24"/>
        </w:rPr>
        <w:t xml:space="preserve">. What we have learned so far about the proteins responsible were only very recent findings. </w:t>
      </w:r>
      <w:r w:rsidR="00C32787" w:rsidRPr="00032BB2">
        <w:rPr>
          <w:rFonts w:ascii="Calibri" w:hAnsi="Calibri" w:cs="Times New Roman"/>
          <w:sz w:val="24"/>
          <w:szCs w:val="24"/>
        </w:rPr>
        <w:t>The identity of the kinase</w:t>
      </w:r>
      <w:r w:rsidR="00D338DA" w:rsidRPr="00032BB2">
        <w:rPr>
          <w:rFonts w:ascii="Calibri" w:hAnsi="Calibri" w:cs="Times New Roman"/>
          <w:sz w:val="24"/>
          <w:szCs w:val="24"/>
        </w:rPr>
        <w:t xml:space="preserve"> (only designated as X in Figure 1)</w:t>
      </w:r>
      <w:r w:rsidR="00C32787" w:rsidRPr="00032BB2">
        <w:rPr>
          <w:rFonts w:ascii="Calibri" w:hAnsi="Calibri" w:cs="Times New Roman"/>
          <w:sz w:val="24"/>
          <w:szCs w:val="24"/>
        </w:rPr>
        <w:t xml:space="preserve"> that phosphorylates Ser-</w:t>
      </w:r>
      <w:r w:rsidR="0016704B" w:rsidRPr="00032BB2">
        <w:rPr>
          <w:rFonts w:ascii="Calibri" w:hAnsi="Calibri" w:cs="Times New Roman"/>
          <w:sz w:val="24"/>
          <w:szCs w:val="24"/>
        </w:rPr>
        <w:t xml:space="preserve">114 has not been identified </w:t>
      </w:r>
      <w:r w:rsidR="00C32787" w:rsidRPr="00032BB2">
        <w:rPr>
          <w:rFonts w:ascii="Calibri" w:hAnsi="Calibri" w:cs="Times New Roman"/>
          <w:sz w:val="24"/>
          <w:szCs w:val="24"/>
        </w:rPr>
        <w:t>yet, b</w:t>
      </w:r>
      <w:r w:rsidR="008E36DE" w:rsidRPr="00032BB2">
        <w:rPr>
          <w:rFonts w:ascii="Calibri" w:hAnsi="Calibri" w:cs="Times New Roman"/>
          <w:sz w:val="24"/>
          <w:szCs w:val="24"/>
        </w:rPr>
        <w:t>ut we just know that this event happens and that it is necessary for the initiation</w:t>
      </w:r>
      <w:r w:rsidR="00C32787" w:rsidRPr="00032BB2">
        <w:rPr>
          <w:rFonts w:ascii="Calibri" w:hAnsi="Calibri" w:cs="Times New Roman"/>
          <w:sz w:val="24"/>
          <w:szCs w:val="24"/>
        </w:rPr>
        <w:t xml:space="preserve"> of </w:t>
      </w:r>
      <w:proofErr w:type="spellStart"/>
      <w:r w:rsidR="00C32787"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="00C32787" w:rsidRPr="00032BB2">
        <w:rPr>
          <w:rFonts w:ascii="Calibri" w:hAnsi="Calibri" w:cs="Times New Roman"/>
          <w:sz w:val="24"/>
          <w:szCs w:val="24"/>
        </w:rPr>
        <w:t>.</w:t>
      </w:r>
    </w:p>
    <w:p w:rsidR="00107382" w:rsidRPr="00032BB2" w:rsidRDefault="00107382">
      <w:pPr>
        <w:rPr>
          <w:rFonts w:ascii="Calibri" w:hAnsi="Calibri" w:cs="Times New Roman"/>
          <w:sz w:val="24"/>
          <w:szCs w:val="24"/>
        </w:rPr>
      </w:pPr>
      <w:r w:rsidRPr="00032BB2">
        <w:rPr>
          <w:rFonts w:ascii="Calibri" w:hAnsi="Calibri" w:cs="Times New Roman"/>
          <w:sz w:val="24"/>
          <w:szCs w:val="24"/>
        </w:rPr>
        <w:t>There will be great difficulty in actually interpreting the results because of this unknown kinase. Even if we are able to determ</w:t>
      </w:r>
      <w:r w:rsidR="00D338DA" w:rsidRPr="00032BB2">
        <w:rPr>
          <w:rFonts w:ascii="Calibri" w:hAnsi="Calibri" w:cs="Times New Roman"/>
          <w:sz w:val="24"/>
          <w:szCs w:val="24"/>
        </w:rPr>
        <w:t>ine if GFP processing decreases</w:t>
      </w:r>
      <w:r w:rsidRPr="00032BB2">
        <w:rPr>
          <w:rFonts w:ascii="Calibri" w:hAnsi="Calibri" w:cs="Times New Roman"/>
          <w:sz w:val="24"/>
          <w:szCs w:val="24"/>
        </w:rPr>
        <w:t xml:space="preserve">, we do not have the knowledge yet to determine </w:t>
      </w:r>
      <w:r w:rsidR="00D338DA" w:rsidRPr="00032BB2">
        <w:rPr>
          <w:rFonts w:ascii="Calibri" w:hAnsi="Calibri" w:cs="Times New Roman"/>
          <w:sz w:val="24"/>
          <w:szCs w:val="24"/>
        </w:rPr>
        <w:t xml:space="preserve">to what extent the effects of the decreased levels of </w:t>
      </w:r>
      <w:proofErr w:type="spellStart"/>
      <w:r w:rsidR="00D338DA"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="00D338DA" w:rsidRPr="00032BB2">
        <w:rPr>
          <w:rFonts w:ascii="Calibri" w:hAnsi="Calibri" w:cs="Times New Roman"/>
          <w:sz w:val="24"/>
          <w:szCs w:val="24"/>
        </w:rPr>
        <w:t xml:space="preserve"> actually stems from</w:t>
      </w:r>
      <w:r w:rsidRPr="00032BB2">
        <w:rPr>
          <w:rFonts w:ascii="Calibri" w:hAnsi="Calibri" w:cs="Times New Roman"/>
          <w:sz w:val="24"/>
          <w:szCs w:val="24"/>
        </w:rPr>
        <w:t xml:space="preserve">. </w:t>
      </w:r>
      <w:r w:rsidR="008F3FF7" w:rsidRPr="00032BB2">
        <w:rPr>
          <w:rFonts w:ascii="Calibri" w:hAnsi="Calibri" w:cs="Times New Roman"/>
          <w:sz w:val="24"/>
          <w:szCs w:val="24"/>
        </w:rPr>
        <w:t xml:space="preserve">There could also be many other factors as a result of using ethanol. Free oxidative species are not the only </w:t>
      </w:r>
      <w:r w:rsidR="00D338DA" w:rsidRPr="00032BB2">
        <w:rPr>
          <w:rFonts w:ascii="Calibri" w:hAnsi="Calibri" w:cs="Times New Roman"/>
          <w:sz w:val="24"/>
          <w:szCs w:val="24"/>
        </w:rPr>
        <w:t>results of ethanol exposure.</w:t>
      </w:r>
    </w:p>
    <w:p w:rsidR="009F6B61" w:rsidRPr="00032BB2" w:rsidRDefault="00433159">
      <w:pPr>
        <w:rPr>
          <w:rFonts w:ascii="Calibri" w:hAnsi="Calibri" w:cs="Times New Roman"/>
          <w:sz w:val="24"/>
          <w:szCs w:val="24"/>
        </w:rPr>
      </w:pPr>
      <w:r w:rsidRPr="00032BB2">
        <w:rPr>
          <w:rFonts w:ascii="Calibri" w:hAnsi="Calibri" w:cs="Times New Roman"/>
          <w:sz w:val="24"/>
          <w:szCs w:val="24"/>
        </w:rPr>
        <w:t>Neurological disorders such as dementia are difficult to diagnose and treat because much of human brain f</w:t>
      </w:r>
      <w:r w:rsidR="008F3FF7" w:rsidRPr="00032BB2">
        <w:rPr>
          <w:rFonts w:ascii="Calibri" w:hAnsi="Calibri" w:cs="Times New Roman"/>
          <w:sz w:val="24"/>
          <w:szCs w:val="24"/>
        </w:rPr>
        <w:t xml:space="preserve">unction is still widely unknown. </w:t>
      </w:r>
      <w:r w:rsidRPr="00032BB2">
        <w:rPr>
          <w:rFonts w:ascii="Calibri" w:hAnsi="Calibri" w:cs="Times New Roman"/>
          <w:sz w:val="24"/>
          <w:szCs w:val="24"/>
        </w:rPr>
        <w:t xml:space="preserve">If the results of this experiment suggest that increasing levels of </w:t>
      </w:r>
      <w:r w:rsidR="008F3FF7" w:rsidRPr="00032BB2">
        <w:rPr>
          <w:rFonts w:ascii="Calibri" w:hAnsi="Calibri" w:cs="Times New Roman"/>
          <w:sz w:val="24"/>
          <w:szCs w:val="24"/>
        </w:rPr>
        <w:t>net ROS</w:t>
      </w:r>
      <w:r w:rsidRPr="00032BB2">
        <w:rPr>
          <w:rFonts w:ascii="Calibri" w:hAnsi="Calibri" w:cs="Times New Roman"/>
          <w:sz w:val="24"/>
          <w:szCs w:val="24"/>
        </w:rPr>
        <w:t xml:space="preserve"> can increase the risk for developing dementia later in life for a human being, then physicians can work their way towards providing more options to diagnose and prevent the disorder. The science community will also make progress towards </w:t>
      </w:r>
      <w:r w:rsidR="008E36DE" w:rsidRPr="00032BB2">
        <w:rPr>
          <w:rFonts w:ascii="Calibri" w:hAnsi="Calibri" w:cs="Times New Roman"/>
          <w:sz w:val="24"/>
          <w:szCs w:val="24"/>
        </w:rPr>
        <w:t xml:space="preserve">increasing the understanding of </w:t>
      </w:r>
      <w:proofErr w:type="spellStart"/>
      <w:r w:rsidR="008E36DE"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="008E36DE" w:rsidRPr="00032BB2">
        <w:rPr>
          <w:rFonts w:ascii="Calibri" w:hAnsi="Calibri" w:cs="Times New Roman"/>
          <w:sz w:val="24"/>
          <w:szCs w:val="24"/>
        </w:rPr>
        <w:t xml:space="preserve"> and how oxidative stress affects the mechanism.</w:t>
      </w:r>
      <w:r w:rsidR="009F6B61" w:rsidRPr="00032BB2">
        <w:rPr>
          <w:rFonts w:ascii="Calibri" w:hAnsi="Calibri" w:cs="Times New Roman"/>
          <w:sz w:val="24"/>
          <w:szCs w:val="24"/>
        </w:rPr>
        <w:br w:type="page"/>
      </w:r>
    </w:p>
    <w:p w:rsidR="000F427C" w:rsidRPr="00032BB2" w:rsidRDefault="000F427C" w:rsidP="000F427C">
      <w:pPr>
        <w:pStyle w:val="ListParagraph"/>
        <w:ind w:left="1080"/>
        <w:jc w:val="center"/>
        <w:rPr>
          <w:rFonts w:ascii="Calibri" w:hAnsi="Calibri" w:cs="Times New Roman"/>
          <w:sz w:val="24"/>
          <w:szCs w:val="24"/>
        </w:rPr>
      </w:pPr>
    </w:p>
    <w:p w:rsidR="00415391" w:rsidRPr="00032BB2" w:rsidRDefault="00415391" w:rsidP="00612326">
      <w:pPr>
        <w:pStyle w:val="ListParagraph"/>
        <w:ind w:left="0"/>
        <w:jc w:val="center"/>
        <w:rPr>
          <w:rFonts w:ascii="Calibri" w:hAnsi="Calibri" w:cs="Times New Roman"/>
          <w:b/>
          <w:sz w:val="24"/>
          <w:szCs w:val="24"/>
        </w:rPr>
      </w:pPr>
      <w:r w:rsidRPr="00032BB2">
        <w:rPr>
          <w:rFonts w:ascii="Calibri" w:hAnsi="Calibri" w:cs="Times New Roman"/>
          <w:b/>
          <w:sz w:val="24"/>
          <w:szCs w:val="24"/>
        </w:rPr>
        <w:t>References</w:t>
      </w:r>
    </w:p>
    <w:p w:rsidR="009F6B61" w:rsidRPr="00032BB2" w:rsidRDefault="00032BB2" w:rsidP="009F6B6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[1]</w:t>
      </w:r>
      <w:r w:rsidR="006D60A9" w:rsidRPr="00032BB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Almansa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I., A. Fernandez, C. Garcia-Ruiz, M.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Muriach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>, J. Barcia, M. Maranda, J. Fernandez-</w:t>
      </w:r>
      <w:r w:rsidR="009F6B61" w:rsidRPr="00032BB2">
        <w:rPr>
          <w:rFonts w:ascii="Calibri" w:hAnsi="Calibri" w:cs="Times New Roman"/>
          <w:sz w:val="24"/>
          <w:szCs w:val="24"/>
        </w:rPr>
        <w:tab/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Checa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F. Romero. 2009. Brain mitochondrial alterations after chronic alcohol </w:t>
      </w:r>
      <w:r w:rsidR="009F6B61" w:rsidRPr="00032BB2">
        <w:rPr>
          <w:rFonts w:ascii="Calibri" w:hAnsi="Calibri" w:cs="Times New Roman"/>
          <w:sz w:val="24"/>
          <w:szCs w:val="24"/>
        </w:rPr>
        <w:tab/>
        <w:t xml:space="preserve">consumption. </w:t>
      </w:r>
      <w:r w:rsidR="005049D2" w:rsidRPr="00032BB2">
        <w:rPr>
          <w:rFonts w:ascii="Calibri" w:hAnsi="Calibri" w:cs="Times New Roman"/>
          <w:sz w:val="24"/>
          <w:szCs w:val="24"/>
        </w:rPr>
        <w:t>The Journal of Physiology and Biochemistry</w:t>
      </w:r>
      <w:r w:rsidR="009F6B61" w:rsidRPr="00032BB2">
        <w:rPr>
          <w:rFonts w:ascii="Calibri" w:hAnsi="Calibri" w:cs="Times New Roman"/>
          <w:sz w:val="24"/>
          <w:szCs w:val="24"/>
        </w:rPr>
        <w:t xml:space="preserve"> 65: 305-312</w:t>
      </w:r>
    </w:p>
    <w:p w:rsidR="009F6B61" w:rsidRPr="00032BB2" w:rsidRDefault="00032BB2" w:rsidP="009F6B6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[2]</w:t>
      </w:r>
      <w:r w:rsidR="006D60A9" w:rsidRPr="00032BB2">
        <w:rPr>
          <w:rFonts w:ascii="Calibri" w:hAnsi="Calibri" w:cs="Times New Roman"/>
          <w:sz w:val="24"/>
          <w:szCs w:val="24"/>
        </w:rPr>
        <w:t xml:space="preserve"> </w:t>
      </w:r>
      <w:r w:rsidR="009F6B61" w:rsidRPr="00032BB2">
        <w:rPr>
          <w:rFonts w:ascii="Calibri" w:hAnsi="Calibri" w:cs="Times New Roman"/>
          <w:sz w:val="24"/>
          <w:szCs w:val="24"/>
        </w:rPr>
        <w:t xml:space="preserve">Aoki, Y., T.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Kanki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Y.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Hirota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Y.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Kurihara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T.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Saigusa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T. Uchiumi, D. Kang. 2011. </w:t>
      </w:r>
      <w:r w:rsidR="009F6B61" w:rsidRPr="00032BB2">
        <w:rPr>
          <w:rFonts w:ascii="Calibri" w:hAnsi="Calibri" w:cs="Times New Roman"/>
          <w:sz w:val="24"/>
          <w:szCs w:val="24"/>
        </w:rPr>
        <w:tab/>
        <w:t>Phosphorylation Serine 114 o</w:t>
      </w:r>
      <w:r w:rsidR="005049D2" w:rsidRPr="00032BB2">
        <w:rPr>
          <w:rFonts w:ascii="Calibri" w:hAnsi="Calibri" w:cs="Times New Roman"/>
          <w:sz w:val="24"/>
          <w:szCs w:val="24"/>
        </w:rPr>
        <w:t xml:space="preserve">n Atg32 mediates </w:t>
      </w:r>
      <w:proofErr w:type="spellStart"/>
      <w:r w:rsidR="005049D2"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="005049D2" w:rsidRPr="00032BB2">
        <w:rPr>
          <w:rFonts w:ascii="Calibri" w:hAnsi="Calibri" w:cs="Times New Roman"/>
          <w:sz w:val="24"/>
          <w:szCs w:val="24"/>
        </w:rPr>
        <w:t xml:space="preserve">. The Molecular Biology of the </w:t>
      </w:r>
      <w:r w:rsidR="005049D2" w:rsidRPr="00032BB2">
        <w:rPr>
          <w:rFonts w:ascii="Calibri" w:hAnsi="Calibri" w:cs="Times New Roman"/>
          <w:sz w:val="24"/>
          <w:szCs w:val="24"/>
        </w:rPr>
        <w:tab/>
        <w:t>Cell</w:t>
      </w:r>
      <w:r w:rsidR="009F6B61" w:rsidRPr="00032BB2">
        <w:rPr>
          <w:rFonts w:ascii="Calibri" w:hAnsi="Calibri" w:cs="Times New Roman"/>
          <w:sz w:val="24"/>
          <w:szCs w:val="24"/>
        </w:rPr>
        <w:t xml:space="preserve"> 22: 3206-3217</w:t>
      </w:r>
    </w:p>
    <w:p w:rsidR="009F6B61" w:rsidRPr="00032BB2" w:rsidRDefault="00032BB2" w:rsidP="009F6B6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[3]</w:t>
      </w:r>
      <w:r w:rsidR="006D60A9" w:rsidRPr="00032BB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Ashrafi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G., T. Schwarz. 2013. The pathways of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 for quality control and clearance </w:t>
      </w:r>
      <w:r w:rsidR="006D60A9" w:rsidRPr="00032BB2">
        <w:rPr>
          <w:rFonts w:ascii="Calibri" w:hAnsi="Calibri" w:cs="Times New Roman"/>
          <w:sz w:val="24"/>
          <w:szCs w:val="24"/>
        </w:rPr>
        <w:tab/>
        <w:t xml:space="preserve">of </w:t>
      </w:r>
      <w:r w:rsidR="009F6B61" w:rsidRPr="00032BB2">
        <w:rPr>
          <w:rFonts w:ascii="Calibri" w:hAnsi="Calibri" w:cs="Times New Roman"/>
          <w:sz w:val="24"/>
          <w:szCs w:val="24"/>
        </w:rPr>
        <w:t>mitochondria. Cell Death and Differentiation 20: 31-42</w:t>
      </w:r>
    </w:p>
    <w:p w:rsidR="009F6B61" w:rsidRPr="00032BB2" w:rsidRDefault="00032BB2" w:rsidP="009F6B6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[4]</w:t>
      </w:r>
      <w:r w:rsidR="006D60A9" w:rsidRPr="00032BB2">
        <w:rPr>
          <w:rFonts w:ascii="Calibri" w:hAnsi="Calibri" w:cs="Times New Roman"/>
          <w:sz w:val="24"/>
          <w:szCs w:val="24"/>
        </w:rPr>
        <w:t xml:space="preserve"> </w:t>
      </w:r>
      <w:r w:rsidR="009F6B61" w:rsidRPr="00032BB2">
        <w:rPr>
          <w:rFonts w:ascii="Calibri" w:hAnsi="Calibri" w:cs="Times New Roman"/>
          <w:sz w:val="24"/>
          <w:szCs w:val="24"/>
        </w:rPr>
        <w:t xml:space="preserve">Bailey, S. M. 2003. A Review of the Role of Reactive Oxygen and Nitrogen Species in </w:t>
      </w:r>
      <w:r w:rsidR="006D60A9" w:rsidRPr="00032BB2">
        <w:rPr>
          <w:rFonts w:ascii="Calibri" w:hAnsi="Calibri" w:cs="Times New Roman"/>
          <w:sz w:val="24"/>
          <w:szCs w:val="24"/>
        </w:rPr>
        <w:tab/>
      </w:r>
      <w:r w:rsidR="009F6B61" w:rsidRPr="00032BB2">
        <w:rPr>
          <w:rFonts w:ascii="Calibri" w:hAnsi="Calibri" w:cs="Times New Roman"/>
          <w:sz w:val="24"/>
          <w:szCs w:val="24"/>
        </w:rPr>
        <w:t>Alcohol-induced Mitochondrial Dysfunction. Free Radical Research 6: 585-596</w:t>
      </w:r>
    </w:p>
    <w:p w:rsidR="006D60A9" w:rsidRPr="00032BB2" w:rsidRDefault="00032BB2" w:rsidP="009F6B6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[5]</w:t>
      </w:r>
      <w:r w:rsidR="006D60A9" w:rsidRPr="00032BB2">
        <w:rPr>
          <w:rFonts w:ascii="Calibri" w:hAnsi="Calibri" w:cs="Times New Roman"/>
          <w:sz w:val="24"/>
          <w:szCs w:val="24"/>
        </w:rPr>
        <w:t xml:space="preserve"> Cell </w:t>
      </w:r>
      <w:proofErr w:type="spellStart"/>
      <w:r w:rsidR="006D60A9" w:rsidRPr="00032BB2">
        <w:rPr>
          <w:rFonts w:ascii="Calibri" w:hAnsi="Calibri" w:cs="Times New Roman"/>
          <w:sz w:val="24"/>
          <w:szCs w:val="24"/>
        </w:rPr>
        <w:t>Signalling</w:t>
      </w:r>
      <w:proofErr w:type="spellEnd"/>
      <w:r w:rsidR="006D60A9" w:rsidRPr="00032BB2">
        <w:rPr>
          <w:rFonts w:ascii="Calibri" w:hAnsi="Calibri" w:cs="Times New Roman"/>
          <w:sz w:val="24"/>
          <w:szCs w:val="24"/>
        </w:rPr>
        <w:t xml:space="preserve"> Technology Inc. “Western Blotting” Accessed December 7, 2013. </w:t>
      </w:r>
      <w:r w:rsidR="006D60A9" w:rsidRPr="00032BB2">
        <w:rPr>
          <w:rFonts w:ascii="Calibri" w:hAnsi="Calibri" w:cs="Times New Roman"/>
          <w:sz w:val="24"/>
          <w:szCs w:val="24"/>
        </w:rPr>
        <w:tab/>
        <w:t>http://www.cellsignal.com/products/7074.html</w:t>
      </w:r>
    </w:p>
    <w:p w:rsidR="009F6B61" w:rsidRPr="00032BB2" w:rsidRDefault="00032BB2" w:rsidP="009F6B6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[6]</w:t>
      </w:r>
      <w:r w:rsidR="005049D2" w:rsidRPr="00032BB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Dolganiuc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A., P.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Thomes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W. Ding, J.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Lemasters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T.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Donuhue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 Jr. 2012. Autophagy in </w:t>
      </w:r>
      <w:r w:rsidR="005049D2" w:rsidRPr="00032BB2">
        <w:rPr>
          <w:rFonts w:ascii="Calibri" w:hAnsi="Calibri" w:cs="Times New Roman"/>
          <w:sz w:val="24"/>
          <w:szCs w:val="24"/>
        </w:rPr>
        <w:tab/>
      </w:r>
      <w:r w:rsidR="009F6B61" w:rsidRPr="00032BB2">
        <w:rPr>
          <w:rFonts w:ascii="Calibri" w:hAnsi="Calibri" w:cs="Times New Roman"/>
          <w:sz w:val="24"/>
          <w:szCs w:val="24"/>
        </w:rPr>
        <w:t xml:space="preserve">Alcohol-Induced Liver Diseases. Alcoholism: Clinical and Experimental Research 36: </w:t>
      </w:r>
      <w:r w:rsidR="005049D2" w:rsidRPr="00032BB2">
        <w:rPr>
          <w:rFonts w:ascii="Calibri" w:hAnsi="Calibri" w:cs="Times New Roman"/>
          <w:sz w:val="24"/>
          <w:szCs w:val="24"/>
        </w:rPr>
        <w:tab/>
      </w:r>
      <w:r w:rsidR="009F6B61" w:rsidRPr="00032BB2">
        <w:rPr>
          <w:rFonts w:ascii="Calibri" w:hAnsi="Calibri" w:cs="Times New Roman"/>
          <w:sz w:val="24"/>
          <w:szCs w:val="24"/>
        </w:rPr>
        <w:t>1301-1308</w:t>
      </w:r>
    </w:p>
    <w:p w:rsidR="00D05239" w:rsidRPr="00032BB2" w:rsidRDefault="00032BB2" w:rsidP="009F6B6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[7]</w:t>
      </w:r>
      <w:r w:rsidR="005049D2" w:rsidRPr="00032BB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D05239" w:rsidRPr="00032BB2">
        <w:rPr>
          <w:rFonts w:ascii="Calibri" w:hAnsi="Calibri" w:cs="Times New Roman"/>
          <w:sz w:val="24"/>
          <w:szCs w:val="24"/>
        </w:rPr>
        <w:t>Kanki</w:t>
      </w:r>
      <w:proofErr w:type="spellEnd"/>
      <w:r w:rsidR="00D05239" w:rsidRPr="00032BB2">
        <w:rPr>
          <w:rFonts w:ascii="Calibri" w:hAnsi="Calibri" w:cs="Times New Roman"/>
          <w:sz w:val="24"/>
          <w:szCs w:val="24"/>
        </w:rPr>
        <w:t xml:space="preserve">, T., D. Kang, D. </w:t>
      </w:r>
      <w:proofErr w:type="spellStart"/>
      <w:r w:rsidR="00D05239" w:rsidRPr="00032BB2">
        <w:rPr>
          <w:rFonts w:ascii="Calibri" w:hAnsi="Calibri" w:cs="Times New Roman"/>
          <w:sz w:val="24"/>
          <w:szCs w:val="24"/>
        </w:rPr>
        <w:t>Klionsky</w:t>
      </w:r>
      <w:proofErr w:type="spellEnd"/>
      <w:r w:rsidR="00D05239" w:rsidRPr="00032BB2">
        <w:rPr>
          <w:rFonts w:ascii="Calibri" w:hAnsi="Calibri" w:cs="Times New Roman"/>
          <w:sz w:val="24"/>
          <w:szCs w:val="24"/>
        </w:rPr>
        <w:t xml:space="preserve">. 2009. Monitory </w:t>
      </w:r>
      <w:proofErr w:type="spellStart"/>
      <w:r w:rsidR="00D05239"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="00D05239" w:rsidRPr="00032BB2">
        <w:rPr>
          <w:rFonts w:ascii="Calibri" w:hAnsi="Calibri" w:cs="Times New Roman"/>
          <w:sz w:val="24"/>
          <w:szCs w:val="24"/>
        </w:rPr>
        <w:t xml:space="preserve"> in yeast. Autophagy 8: 1186-</w:t>
      </w:r>
      <w:r w:rsidR="005049D2" w:rsidRPr="00032BB2">
        <w:rPr>
          <w:rFonts w:ascii="Calibri" w:hAnsi="Calibri" w:cs="Times New Roman"/>
          <w:sz w:val="24"/>
          <w:szCs w:val="24"/>
        </w:rPr>
        <w:tab/>
      </w:r>
      <w:r w:rsidR="00D05239" w:rsidRPr="00032BB2">
        <w:rPr>
          <w:rFonts w:ascii="Calibri" w:hAnsi="Calibri" w:cs="Times New Roman"/>
          <w:sz w:val="24"/>
          <w:szCs w:val="24"/>
        </w:rPr>
        <w:t>1189</w:t>
      </w:r>
    </w:p>
    <w:p w:rsidR="009F6B61" w:rsidRPr="00032BB2" w:rsidRDefault="00032BB2" w:rsidP="009F6B6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[8]</w:t>
      </w:r>
      <w:r w:rsidR="005049D2" w:rsidRPr="00032BB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Knorre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D., K.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Popadin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S.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Sokolov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F.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Severin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. 2013. Roles of Mitochondrial Dynamics under </w:t>
      </w:r>
      <w:r w:rsidR="009F6B61" w:rsidRPr="00032BB2">
        <w:rPr>
          <w:rFonts w:ascii="Calibri" w:hAnsi="Calibri" w:cs="Times New Roman"/>
          <w:sz w:val="24"/>
          <w:szCs w:val="24"/>
        </w:rPr>
        <w:tab/>
        <w:t xml:space="preserve">Stressful and Normal Conditions in Yeast Cells. Oxidative Medicine and Cellular </w:t>
      </w:r>
      <w:r w:rsidR="009F6B61" w:rsidRPr="00032BB2">
        <w:rPr>
          <w:rFonts w:ascii="Calibri" w:hAnsi="Calibri" w:cs="Times New Roman"/>
          <w:sz w:val="24"/>
          <w:szCs w:val="24"/>
        </w:rPr>
        <w:tab/>
        <w:t>Longevity 1: 1-6</w:t>
      </w:r>
    </w:p>
    <w:p w:rsidR="009F6B61" w:rsidRPr="00032BB2" w:rsidRDefault="00032BB2" w:rsidP="009F6B6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[9]</w:t>
      </w:r>
      <w:r w:rsidR="005049D2" w:rsidRPr="00032BB2">
        <w:rPr>
          <w:rFonts w:ascii="Calibri" w:hAnsi="Calibri" w:cs="Times New Roman"/>
          <w:sz w:val="24"/>
          <w:szCs w:val="24"/>
        </w:rPr>
        <w:t xml:space="preserve"> </w:t>
      </w:r>
      <w:r w:rsidR="009F6B61" w:rsidRPr="00032BB2">
        <w:rPr>
          <w:rFonts w:ascii="Calibri" w:hAnsi="Calibri" w:cs="Times New Roman"/>
          <w:sz w:val="24"/>
          <w:szCs w:val="24"/>
        </w:rPr>
        <w:t xml:space="preserve">Kondo-Okamoto, N., N. Noda, S. Suzuki, H.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Nakatogawa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I. Takahashi, M.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Matsunami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A. </w:t>
      </w:r>
      <w:r w:rsidR="009F6B61" w:rsidRPr="00032BB2">
        <w:rPr>
          <w:rFonts w:ascii="Calibri" w:hAnsi="Calibri" w:cs="Times New Roman"/>
          <w:sz w:val="24"/>
          <w:szCs w:val="24"/>
        </w:rPr>
        <w:tab/>
        <w:t xml:space="preserve">Hashimoto, F. </w:t>
      </w:r>
      <w:r w:rsidR="009F6B61" w:rsidRPr="00032BB2">
        <w:rPr>
          <w:rFonts w:ascii="Calibri" w:hAnsi="Calibri" w:cs="Times New Roman"/>
          <w:sz w:val="24"/>
          <w:szCs w:val="24"/>
        </w:rPr>
        <w:tab/>
        <w:t xml:space="preserve">Inagaki, Y.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Ohsumi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K. Okamoto. 2012. Autophagy-related Protein 32 </w:t>
      </w:r>
      <w:r w:rsidR="009F6B61" w:rsidRPr="00032BB2">
        <w:rPr>
          <w:rFonts w:ascii="Calibri" w:hAnsi="Calibri" w:cs="Times New Roman"/>
          <w:sz w:val="24"/>
          <w:szCs w:val="24"/>
        </w:rPr>
        <w:tab/>
        <w:t xml:space="preserve">Acts as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Autophagic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Degron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 and Directly Initiates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. </w:t>
      </w:r>
      <w:r w:rsidR="005049D2" w:rsidRPr="00032BB2">
        <w:rPr>
          <w:rFonts w:ascii="Calibri" w:hAnsi="Calibri" w:cs="Times New Roman"/>
          <w:sz w:val="24"/>
          <w:szCs w:val="24"/>
        </w:rPr>
        <w:t xml:space="preserve">The Journal of Biological </w:t>
      </w:r>
      <w:r w:rsidR="005049D2" w:rsidRPr="00032BB2">
        <w:rPr>
          <w:rFonts w:ascii="Calibri" w:hAnsi="Calibri" w:cs="Times New Roman"/>
          <w:sz w:val="24"/>
          <w:szCs w:val="24"/>
        </w:rPr>
        <w:tab/>
        <w:t>Chemistry</w:t>
      </w:r>
      <w:r w:rsidR="009F6B61" w:rsidRPr="00032BB2">
        <w:rPr>
          <w:rFonts w:ascii="Calibri" w:hAnsi="Calibri" w:cs="Times New Roman"/>
          <w:sz w:val="24"/>
          <w:szCs w:val="24"/>
        </w:rPr>
        <w:t xml:space="preserve"> 287: 10631-10638</w:t>
      </w:r>
    </w:p>
    <w:p w:rsidR="009F6B61" w:rsidRPr="00032BB2" w:rsidRDefault="00032BB2" w:rsidP="009F6B6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[10]</w:t>
      </w:r>
      <w:r w:rsidR="005049D2" w:rsidRPr="00032BB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Kurihara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Y., T.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Kanki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Y. Aoki, Y.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Hirota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T.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Saigusa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T. Uchiumi, D. Kang. 2012. </w:t>
      </w:r>
      <w:r w:rsidR="005049D2" w:rsidRPr="00032BB2">
        <w:rPr>
          <w:rFonts w:ascii="Calibri" w:hAnsi="Calibri" w:cs="Times New Roman"/>
          <w:sz w:val="24"/>
          <w:szCs w:val="24"/>
        </w:rPr>
        <w:tab/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 Plays an Essential Role in Reducing Mitochondrial Production of Reactive </w:t>
      </w:r>
      <w:r w:rsidR="005049D2" w:rsidRPr="00032BB2">
        <w:rPr>
          <w:rFonts w:ascii="Calibri" w:hAnsi="Calibri" w:cs="Times New Roman"/>
          <w:sz w:val="24"/>
          <w:szCs w:val="24"/>
        </w:rPr>
        <w:tab/>
      </w:r>
      <w:r w:rsidR="009F6B61" w:rsidRPr="00032BB2">
        <w:rPr>
          <w:rFonts w:ascii="Calibri" w:hAnsi="Calibri" w:cs="Times New Roman"/>
          <w:sz w:val="24"/>
          <w:szCs w:val="24"/>
        </w:rPr>
        <w:t xml:space="preserve">Oxygen Species and Mutation of Mitochondrial DNA by Maintaining Mitochondrial </w:t>
      </w:r>
      <w:r w:rsidR="005049D2" w:rsidRPr="00032BB2">
        <w:rPr>
          <w:rFonts w:ascii="Calibri" w:hAnsi="Calibri" w:cs="Times New Roman"/>
          <w:sz w:val="24"/>
          <w:szCs w:val="24"/>
        </w:rPr>
        <w:tab/>
      </w:r>
      <w:r w:rsidR="009F6B61" w:rsidRPr="00032BB2">
        <w:rPr>
          <w:rFonts w:ascii="Calibri" w:hAnsi="Calibri" w:cs="Times New Roman"/>
          <w:sz w:val="24"/>
          <w:szCs w:val="24"/>
        </w:rPr>
        <w:t xml:space="preserve">Quantity and </w:t>
      </w:r>
      <w:r w:rsidR="005049D2" w:rsidRPr="00032BB2">
        <w:rPr>
          <w:rFonts w:ascii="Calibri" w:hAnsi="Calibri" w:cs="Times New Roman"/>
          <w:sz w:val="24"/>
          <w:szCs w:val="24"/>
        </w:rPr>
        <w:t>Quality in Yeast. The Journal of</w:t>
      </w:r>
      <w:r w:rsidR="009F6B61" w:rsidRPr="00032BB2">
        <w:rPr>
          <w:rFonts w:ascii="Calibri" w:hAnsi="Calibri" w:cs="Times New Roman"/>
          <w:sz w:val="24"/>
          <w:szCs w:val="24"/>
        </w:rPr>
        <w:t xml:space="preserve"> Biol</w:t>
      </w:r>
      <w:r w:rsidR="005049D2" w:rsidRPr="00032BB2">
        <w:rPr>
          <w:rFonts w:ascii="Calibri" w:hAnsi="Calibri" w:cs="Times New Roman"/>
          <w:sz w:val="24"/>
          <w:szCs w:val="24"/>
        </w:rPr>
        <w:t>ogical</w:t>
      </w:r>
      <w:r w:rsidR="009F6B61" w:rsidRPr="00032BB2">
        <w:rPr>
          <w:rFonts w:ascii="Calibri" w:hAnsi="Calibri" w:cs="Times New Roman"/>
          <w:sz w:val="24"/>
          <w:szCs w:val="24"/>
        </w:rPr>
        <w:t xml:space="preserve"> Chem</w:t>
      </w:r>
      <w:r w:rsidR="005049D2" w:rsidRPr="00032BB2">
        <w:rPr>
          <w:rFonts w:ascii="Calibri" w:hAnsi="Calibri" w:cs="Times New Roman"/>
          <w:sz w:val="24"/>
          <w:szCs w:val="24"/>
        </w:rPr>
        <w:t>istry</w:t>
      </w:r>
      <w:r w:rsidR="009F6B61" w:rsidRPr="00032BB2">
        <w:rPr>
          <w:rFonts w:ascii="Calibri" w:hAnsi="Calibri" w:cs="Times New Roman"/>
          <w:sz w:val="24"/>
          <w:szCs w:val="24"/>
        </w:rPr>
        <w:t xml:space="preserve"> 287: 3265-3272</w:t>
      </w:r>
    </w:p>
    <w:p w:rsidR="000025A9" w:rsidRPr="00032BB2" w:rsidRDefault="00032BB2" w:rsidP="009F6B6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[11]</w:t>
      </w:r>
      <w:r w:rsidR="005049D2" w:rsidRPr="00032BB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0025A9" w:rsidRPr="00032BB2">
        <w:rPr>
          <w:rFonts w:ascii="Calibri" w:hAnsi="Calibri" w:cs="Times New Roman"/>
          <w:sz w:val="24"/>
          <w:szCs w:val="24"/>
        </w:rPr>
        <w:t>Leinco</w:t>
      </w:r>
      <w:proofErr w:type="spellEnd"/>
      <w:r w:rsidR="000025A9" w:rsidRPr="00032BB2">
        <w:rPr>
          <w:rFonts w:ascii="Calibri" w:hAnsi="Calibri" w:cs="Times New Roman"/>
          <w:sz w:val="24"/>
          <w:szCs w:val="24"/>
        </w:rPr>
        <w:t>. "Western Blot Setup." </w:t>
      </w:r>
      <w:proofErr w:type="spellStart"/>
      <w:r w:rsidR="000025A9" w:rsidRPr="00032BB2">
        <w:rPr>
          <w:rFonts w:ascii="Calibri" w:hAnsi="Calibri" w:cs="Times New Roman"/>
          <w:i/>
          <w:iCs/>
          <w:sz w:val="24"/>
          <w:szCs w:val="24"/>
        </w:rPr>
        <w:t>Leinco</w:t>
      </w:r>
      <w:proofErr w:type="spellEnd"/>
      <w:r w:rsidR="000025A9" w:rsidRPr="00032BB2">
        <w:rPr>
          <w:rFonts w:ascii="Calibri" w:hAnsi="Calibri" w:cs="Times New Roman"/>
          <w:sz w:val="24"/>
          <w:szCs w:val="24"/>
        </w:rPr>
        <w:t xml:space="preserve">. Accessed December 7, 2013. </w:t>
      </w:r>
      <w:r w:rsidR="000025A9" w:rsidRPr="00032BB2">
        <w:rPr>
          <w:rFonts w:ascii="Calibri" w:hAnsi="Calibri" w:cs="Times New Roman"/>
          <w:sz w:val="24"/>
          <w:szCs w:val="24"/>
        </w:rPr>
        <w:tab/>
        <w:t>http://www.leinco.com/general_wb</w:t>
      </w:r>
    </w:p>
    <w:p w:rsidR="009F6B61" w:rsidRPr="00032BB2" w:rsidRDefault="00032BB2" w:rsidP="009F6B6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[12]</w:t>
      </w:r>
      <w:r w:rsidR="005049D2" w:rsidRPr="00032BB2">
        <w:rPr>
          <w:rFonts w:ascii="Calibri" w:hAnsi="Calibri" w:cs="Times New Roman"/>
          <w:sz w:val="24"/>
          <w:szCs w:val="24"/>
        </w:rPr>
        <w:t xml:space="preserve"> </w:t>
      </w:r>
      <w:r w:rsidR="009F6B61" w:rsidRPr="00032BB2">
        <w:rPr>
          <w:rFonts w:ascii="Calibri" w:hAnsi="Calibri" w:cs="Times New Roman"/>
          <w:sz w:val="24"/>
          <w:szCs w:val="24"/>
        </w:rPr>
        <w:t xml:space="preserve">Lin, M., M. Beal. 2006. Mitochondrial dysfunction and oxidative stress in </w:t>
      </w:r>
      <w:r>
        <w:rPr>
          <w:rFonts w:ascii="Calibri" w:hAnsi="Calibri" w:cs="Times New Roman"/>
          <w:sz w:val="24"/>
          <w:szCs w:val="24"/>
        </w:rPr>
        <w:tab/>
      </w:r>
      <w:r w:rsidR="009F6B61" w:rsidRPr="00032BB2">
        <w:rPr>
          <w:rFonts w:ascii="Calibri" w:hAnsi="Calibri" w:cs="Times New Roman"/>
          <w:sz w:val="24"/>
          <w:szCs w:val="24"/>
        </w:rPr>
        <w:t>neurodegenerative diseases. Nature 443: 787-795</w:t>
      </w:r>
    </w:p>
    <w:p w:rsidR="009F6B61" w:rsidRPr="00032BB2" w:rsidRDefault="00032BB2" w:rsidP="009F6B6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[13]</w:t>
      </w:r>
      <w:r w:rsidR="005049D2" w:rsidRPr="00032BB2">
        <w:rPr>
          <w:rFonts w:ascii="Calibri" w:hAnsi="Calibri" w:cs="Times New Roman"/>
          <w:sz w:val="24"/>
          <w:szCs w:val="24"/>
        </w:rPr>
        <w:t xml:space="preserve"> </w:t>
      </w:r>
      <w:r w:rsidR="009F6B61" w:rsidRPr="00032BB2">
        <w:rPr>
          <w:rFonts w:ascii="Calibri" w:hAnsi="Calibri" w:cs="Times New Roman"/>
          <w:sz w:val="24"/>
          <w:szCs w:val="24"/>
        </w:rPr>
        <w:t xml:space="preserve">Okamoto, K., N. Kondo-Okamoto, Y.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Ohsumi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. 2009. A landmark protein essential for </w:t>
      </w:r>
      <w:r w:rsidR="009F6B61" w:rsidRPr="00032BB2">
        <w:rPr>
          <w:rFonts w:ascii="Calibri" w:hAnsi="Calibri" w:cs="Times New Roman"/>
          <w:sz w:val="24"/>
          <w:szCs w:val="24"/>
        </w:rPr>
        <w:tab/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>. Autophagy 5: 1203-1205</w:t>
      </w:r>
    </w:p>
    <w:p w:rsidR="009F6B61" w:rsidRPr="00032BB2" w:rsidRDefault="00032BB2" w:rsidP="009F6B6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[14]</w:t>
      </w:r>
      <w:r w:rsidR="005049D2" w:rsidRPr="00032BB2">
        <w:rPr>
          <w:rFonts w:ascii="Calibri" w:hAnsi="Calibri" w:cs="Times New Roman"/>
          <w:sz w:val="24"/>
          <w:szCs w:val="24"/>
        </w:rPr>
        <w:t xml:space="preserve"> </w:t>
      </w:r>
      <w:r w:rsidR="009F6B61" w:rsidRPr="00032BB2">
        <w:rPr>
          <w:rFonts w:ascii="Calibri" w:hAnsi="Calibri" w:cs="Times New Roman"/>
          <w:sz w:val="24"/>
          <w:szCs w:val="24"/>
        </w:rPr>
        <w:t xml:space="preserve">Reddy, V., P.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Padmavathi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G.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Kavitha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B.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Saradamma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N.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Vaaradacharyulu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>. 2013. Alcohol-</w:t>
      </w:r>
      <w:r w:rsidR="009F6B61" w:rsidRPr="00032BB2">
        <w:rPr>
          <w:rFonts w:ascii="Calibri" w:hAnsi="Calibri" w:cs="Times New Roman"/>
          <w:sz w:val="24"/>
          <w:szCs w:val="24"/>
        </w:rPr>
        <w:tab/>
        <w:t>induced oxidative/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nitrosative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 stress alters brain mitochondrial membrane properties. </w:t>
      </w:r>
      <w:r w:rsidR="005049D2" w:rsidRPr="00032BB2">
        <w:rPr>
          <w:rFonts w:ascii="Calibri" w:hAnsi="Calibri" w:cs="Times New Roman"/>
          <w:sz w:val="24"/>
          <w:szCs w:val="24"/>
        </w:rPr>
        <w:tab/>
      </w:r>
      <w:r w:rsidR="009F6B61" w:rsidRPr="00032BB2">
        <w:rPr>
          <w:rFonts w:ascii="Calibri" w:hAnsi="Calibri" w:cs="Times New Roman"/>
          <w:sz w:val="24"/>
          <w:szCs w:val="24"/>
        </w:rPr>
        <w:t>Mol</w:t>
      </w:r>
      <w:r w:rsidR="005049D2" w:rsidRPr="00032BB2">
        <w:rPr>
          <w:rFonts w:ascii="Calibri" w:hAnsi="Calibri" w:cs="Times New Roman"/>
          <w:sz w:val="24"/>
          <w:szCs w:val="24"/>
        </w:rPr>
        <w:t xml:space="preserve">ecular </w:t>
      </w:r>
      <w:r w:rsidR="009F6B61" w:rsidRPr="00032BB2">
        <w:rPr>
          <w:rFonts w:ascii="Calibri" w:hAnsi="Calibri" w:cs="Times New Roman"/>
          <w:sz w:val="24"/>
          <w:szCs w:val="24"/>
        </w:rPr>
        <w:t>Cell Biochem</w:t>
      </w:r>
      <w:r w:rsidR="005049D2" w:rsidRPr="00032BB2">
        <w:rPr>
          <w:rFonts w:ascii="Calibri" w:hAnsi="Calibri" w:cs="Times New Roman"/>
          <w:sz w:val="24"/>
          <w:szCs w:val="24"/>
        </w:rPr>
        <w:t>istry</w:t>
      </w:r>
      <w:r w:rsidR="009F6B61" w:rsidRPr="00032BB2">
        <w:rPr>
          <w:rFonts w:ascii="Calibri" w:hAnsi="Calibri" w:cs="Times New Roman"/>
          <w:sz w:val="24"/>
          <w:szCs w:val="24"/>
        </w:rPr>
        <w:t xml:space="preserve"> 375: 39-47</w:t>
      </w:r>
    </w:p>
    <w:p w:rsidR="009F6B61" w:rsidRPr="00032BB2" w:rsidRDefault="00032BB2" w:rsidP="009F6B6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[15]</w:t>
      </w:r>
      <w:r w:rsidR="005049D2" w:rsidRPr="00032BB2">
        <w:rPr>
          <w:rFonts w:ascii="Calibri" w:hAnsi="Calibri" w:cs="Times New Roman"/>
          <w:sz w:val="24"/>
          <w:szCs w:val="24"/>
        </w:rPr>
        <w:t xml:space="preserve"> </w:t>
      </w:r>
      <w:r w:rsidR="009F6B61" w:rsidRPr="00032BB2">
        <w:rPr>
          <w:rFonts w:ascii="Calibri" w:hAnsi="Calibri" w:cs="Times New Roman"/>
          <w:sz w:val="24"/>
          <w:szCs w:val="24"/>
        </w:rPr>
        <w:t xml:space="preserve">Schreiner, B., H.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Westerburg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I.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Forne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A.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Imhof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W.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Neupert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, D.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Mokranjac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. Role of the </w:t>
      </w:r>
      <w:r w:rsidR="005049D2" w:rsidRPr="00032BB2">
        <w:rPr>
          <w:rFonts w:ascii="Calibri" w:hAnsi="Calibri" w:cs="Times New Roman"/>
          <w:sz w:val="24"/>
          <w:szCs w:val="24"/>
        </w:rPr>
        <w:tab/>
        <w:t xml:space="preserve">AAA </w:t>
      </w:r>
      <w:r w:rsidR="009F6B61" w:rsidRPr="00032BB2">
        <w:rPr>
          <w:rFonts w:ascii="Calibri" w:hAnsi="Calibri" w:cs="Times New Roman"/>
          <w:sz w:val="24"/>
          <w:szCs w:val="24"/>
        </w:rPr>
        <w:t xml:space="preserve">protease Yme1 in folding of proteins in the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intermembrane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 space of mitoc</w:t>
      </w:r>
      <w:r w:rsidR="005049D2" w:rsidRPr="00032BB2">
        <w:rPr>
          <w:rFonts w:ascii="Calibri" w:hAnsi="Calibri" w:cs="Times New Roman"/>
          <w:sz w:val="24"/>
          <w:szCs w:val="24"/>
        </w:rPr>
        <w:t xml:space="preserve">hondria. </w:t>
      </w:r>
      <w:r w:rsidR="005049D2" w:rsidRPr="00032BB2">
        <w:rPr>
          <w:rFonts w:ascii="Calibri" w:hAnsi="Calibri" w:cs="Times New Roman"/>
          <w:sz w:val="24"/>
          <w:szCs w:val="24"/>
        </w:rPr>
        <w:tab/>
        <w:t xml:space="preserve">Molecular Biology of the Cell </w:t>
      </w:r>
      <w:r w:rsidR="009F6B61" w:rsidRPr="00032BB2">
        <w:rPr>
          <w:rFonts w:ascii="Calibri" w:hAnsi="Calibri" w:cs="Times New Roman"/>
          <w:sz w:val="24"/>
          <w:szCs w:val="24"/>
        </w:rPr>
        <w:t>23: 4335-4346</w:t>
      </w:r>
    </w:p>
    <w:p w:rsidR="009F6B61" w:rsidRPr="00032BB2" w:rsidRDefault="00032BB2" w:rsidP="009F6B6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[16]</w:t>
      </w:r>
      <w:r w:rsidR="005049D2" w:rsidRPr="00032BB2">
        <w:rPr>
          <w:rFonts w:ascii="Calibri" w:hAnsi="Calibri" w:cs="Times New Roman"/>
          <w:sz w:val="24"/>
          <w:szCs w:val="24"/>
        </w:rPr>
        <w:t xml:space="preserve"> </w:t>
      </w:r>
      <w:r w:rsidR="009F6B61" w:rsidRPr="00032BB2">
        <w:rPr>
          <w:rFonts w:ascii="Calibri" w:hAnsi="Calibri" w:cs="Times New Roman"/>
          <w:sz w:val="24"/>
          <w:szCs w:val="24"/>
        </w:rPr>
        <w:t xml:space="preserve">Wager, K., C. Russell. 2013.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 and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neurodege</w:t>
      </w:r>
      <w:r w:rsidR="00775AC8" w:rsidRPr="00032BB2">
        <w:rPr>
          <w:rFonts w:ascii="Calibri" w:hAnsi="Calibri" w:cs="Times New Roman"/>
          <w:sz w:val="24"/>
          <w:szCs w:val="24"/>
        </w:rPr>
        <w:t>ne</w:t>
      </w:r>
      <w:r w:rsidR="009F6B61" w:rsidRPr="00032BB2">
        <w:rPr>
          <w:rFonts w:ascii="Calibri" w:hAnsi="Calibri" w:cs="Times New Roman"/>
          <w:sz w:val="24"/>
          <w:szCs w:val="24"/>
        </w:rPr>
        <w:t>rnation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: The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zebrafish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 model </w:t>
      </w:r>
      <w:r w:rsidR="005049D2" w:rsidRPr="00032BB2">
        <w:rPr>
          <w:rFonts w:ascii="Calibri" w:hAnsi="Calibri" w:cs="Times New Roman"/>
          <w:sz w:val="24"/>
          <w:szCs w:val="24"/>
        </w:rPr>
        <w:tab/>
        <w:t xml:space="preserve">system. </w:t>
      </w:r>
      <w:r w:rsidR="009F6B61" w:rsidRPr="00032BB2">
        <w:rPr>
          <w:rFonts w:ascii="Calibri" w:hAnsi="Calibri" w:cs="Times New Roman"/>
          <w:sz w:val="24"/>
          <w:szCs w:val="24"/>
        </w:rPr>
        <w:t>Autophagy 9: 1-17</w:t>
      </w:r>
    </w:p>
    <w:p w:rsidR="009F6B61" w:rsidRPr="00032BB2" w:rsidRDefault="00032BB2" w:rsidP="009F6B6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[17]</w:t>
      </w:r>
      <w:r w:rsidR="005049D2" w:rsidRPr="00032BB2">
        <w:rPr>
          <w:rFonts w:ascii="Calibri" w:hAnsi="Calibri" w:cs="Times New Roman"/>
          <w:sz w:val="24"/>
          <w:szCs w:val="24"/>
        </w:rPr>
        <w:t xml:space="preserve"> </w:t>
      </w:r>
      <w:r w:rsidR="009F6B61" w:rsidRPr="00032BB2">
        <w:rPr>
          <w:rFonts w:ascii="Calibri" w:hAnsi="Calibri" w:cs="Times New Roman"/>
          <w:sz w:val="24"/>
          <w:szCs w:val="24"/>
        </w:rPr>
        <w:t xml:space="preserve">Wang, K., M. Jin, X. Liu, D.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Klionsky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. 2013.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Proteolytic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 processing of Atg32 by the </w:t>
      </w:r>
      <w:r w:rsidR="009F6B61" w:rsidRPr="00032BB2">
        <w:rPr>
          <w:rFonts w:ascii="Calibri" w:hAnsi="Calibri" w:cs="Times New Roman"/>
          <w:sz w:val="24"/>
          <w:szCs w:val="24"/>
        </w:rPr>
        <w:tab/>
        <w:t xml:space="preserve">mitochondrial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i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 xml:space="preserve">-AAA protease Yme1 regulates </w:t>
      </w:r>
      <w:proofErr w:type="spellStart"/>
      <w:r w:rsidR="009F6B61" w:rsidRPr="00032BB2">
        <w:rPr>
          <w:rFonts w:ascii="Calibri" w:hAnsi="Calibri" w:cs="Times New Roman"/>
          <w:sz w:val="24"/>
          <w:szCs w:val="24"/>
        </w:rPr>
        <w:t>mitophagy</w:t>
      </w:r>
      <w:proofErr w:type="spellEnd"/>
      <w:r w:rsidR="009F6B61" w:rsidRPr="00032BB2">
        <w:rPr>
          <w:rFonts w:ascii="Calibri" w:hAnsi="Calibri" w:cs="Times New Roman"/>
          <w:sz w:val="24"/>
          <w:szCs w:val="24"/>
        </w:rPr>
        <w:t>. Autophagy 9: 1-9</w:t>
      </w:r>
    </w:p>
    <w:p w:rsidR="009F6B61" w:rsidRPr="00032BB2" w:rsidRDefault="009F6B61" w:rsidP="00415391">
      <w:pPr>
        <w:rPr>
          <w:rFonts w:ascii="Calibri" w:hAnsi="Calibri" w:cs="Times New Roman"/>
          <w:b/>
          <w:sz w:val="24"/>
          <w:szCs w:val="24"/>
        </w:rPr>
      </w:pPr>
    </w:p>
    <w:sectPr w:rsidR="009F6B61" w:rsidRPr="00032BB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15" w:rsidRDefault="00567015" w:rsidP="00AD0976">
      <w:pPr>
        <w:spacing w:after="0" w:line="240" w:lineRule="auto"/>
      </w:pPr>
      <w:r>
        <w:separator/>
      </w:r>
    </w:p>
  </w:endnote>
  <w:endnote w:type="continuationSeparator" w:id="0">
    <w:p w:rsidR="00567015" w:rsidRDefault="00567015" w:rsidP="00AD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15" w:rsidRDefault="00567015" w:rsidP="00AD0976">
      <w:pPr>
        <w:spacing w:after="0" w:line="240" w:lineRule="auto"/>
      </w:pPr>
      <w:r>
        <w:separator/>
      </w:r>
    </w:p>
  </w:footnote>
  <w:footnote w:type="continuationSeparator" w:id="0">
    <w:p w:rsidR="00567015" w:rsidRDefault="00567015" w:rsidP="00AD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976" w:rsidRDefault="00AD0976" w:rsidP="00894D7E">
    <w:pPr>
      <w:pStyle w:val="Header"/>
      <w:jc w:val="right"/>
    </w:pPr>
    <w:r>
      <w:t>Donald 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77768"/>
    <w:multiLevelType w:val="hybridMultilevel"/>
    <w:tmpl w:val="3EC8EC2E"/>
    <w:lvl w:ilvl="0" w:tplc="665C3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D58B6"/>
    <w:multiLevelType w:val="hybridMultilevel"/>
    <w:tmpl w:val="B10A4C7E"/>
    <w:lvl w:ilvl="0" w:tplc="C82CE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99"/>
    <w:rsid w:val="000025A9"/>
    <w:rsid w:val="00032BB2"/>
    <w:rsid w:val="00040F99"/>
    <w:rsid w:val="0004668B"/>
    <w:rsid w:val="000F1065"/>
    <w:rsid w:val="000F427C"/>
    <w:rsid w:val="00104819"/>
    <w:rsid w:val="00107382"/>
    <w:rsid w:val="001507F4"/>
    <w:rsid w:val="0016704B"/>
    <w:rsid w:val="00177EAC"/>
    <w:rsid w:val="00190266"/>
    <w:rsid w:val="001B6E39"/>
    <w:rsid w:val="001D78F1"/>
    <w:rsid w:val="001E30A9"/>
    <w:rsid w:val="001F55AF"/>
    <w:rsid w:val="00206353"/>
    <w:rsid w:val="002B6F4F"/>
    <w:rsid w:val="002B73BD"/>
    <w:rsid w:val="002C6592"/>
    <w:rsid w:val="002F3F82"/>
    <w:rsid w:val="002F786B"/>
    <w:rsid w:val="0035596D"/>
    <w:rsid w:val="00357E70"/>
    <w:rsid w:val="0039603C"/>
    <w:rsid w:val="003A425B"/>
    <w:rsid w:val="003F4256"/>
    <w:rsid w:val="00415391"/>
    <w:rsid w:val="00433159"/>
    <w:rsid w:val="004B2AFE"/>
    <w:rsid w:val="004B369A"/>
    <w:rsid w:val="004B67E1"/>
    <w:rsid w:val="005049D2"/>
    <w:rsid w:val="005203DB"/>
    <w:rsid w:val="0054438A"/>
    <w:rsid w:val="0055629E"/>
    <w:rsid w:val="005568A5"/>
    <w:rsid w:val="00567015"/>
    <w:rsid w:val="005C7266"/>
    <w:rsid w:val="005F09E3"/>
    <w:rsid w:val="00612326"/>
    <w:rsid w:val="00617B9C"/>
    <w:rsid w:val="0067213A"/>
    <w:rsid w:val="006A1D51"/>
    <w:rsid w:val="006C67BC"/>
    <w:rsid w:val="006D36A1"/>
    <w:rsid w:val="006D5F02"/>
    <w:rsid w:val="006D60A9"/>
    <w:rsid w:val="00713268"/>
    <w:rsid w:val="00757AEA"/>
    <w:rsid w:val="00763B8D"/>
    <w:rsid w:val="00775AC8"/>
    <w:rsid w:val="00780BF9"/>
    <w:rsid w:val="007C2255"/>
    <w:rsid w:val="00805032"/>
    <w:rsid w:val="00894D7E"/>
    <w:rsid w:val="008B08D4"/>
    <w:rsid w:val="008B395C"/>
    <w:rsid w:val="008C0615"/>
    <w:rsid w:val="008D3178"/>
    <w:rsid w:val="008D7F01"/>
    <w:rsid w:val="008E36DE"/>
    <w:rsid w:val="008F3FF7"/>
    <w:rsid w:val="00941291"/>
    <w:rsid w:val="00950A27"/>
    <w:rsid w:val="009D4C32"/>
    <w:rsid w:val="009E5F5E"/>
    <w:rsid w:val="009F6B61"/>
    <w:rsid w:val="00AD0976"/>
    <w:rsid w:val="00AE4B86"/>
    <w:rsid w:val="00B12FF7"/>
    <w:rsid w:val="00B16BE8"/>
    <w:rsid w:val="00B16CE5"/>
    <w:rsid w:val="00B67D28"/>
    <w:rsid w:val="00BA52FA"/>
    <w:rsid w:val="00BE1A2F"/>
    <w:rsid w:val="00BE6532"/>
    <w:rsid w:val="00C162F7"/>
    <w:rsid w:val="00C32787"/>
    <w:rsid w:val="00C71AB7"/>
    <w:rsid w:val="00CB5A0A"/>
    <w:rsid w:val="00D05239"/>
    <w:rsid w:val="00D1033E"/>
    <w:rsid w:val="00D21A98"/>
    <w:rsid w:val="00D3077A"/>
    <w:rsid w:val="00D338DA"/>
    <w:rsid w:val="00D41278"/>
    <w:rsid w:val="00D5167D"/>
    <w:rsid w:val="00D64786"/>
    <w:rsid w:val="00DC3663"/>
    <w:rsid w:val="00E206E4"/>
    <w:rsid w:val="00E44BB5"/>
    <w:rsid w:val="00E84D4F"/>
    <w:rsid w:val="00F51ECF"/>
    <w:rsid w:val="00F534DC"/>
    <w:rsid w:val="00F64C07"/>
    <w:rsid w:val="00F87FA8"/>
    <w:rsid w:val="00FA4ECC"/>
    <w:rsid w:val="00FE716F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A5850-21E0-44AC-8627-9870BF6C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B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976"/>
  </w:style>
  <w:style w:type="paragraph" w:styleId="Footer">
    <w:name w:val="footer"/>
    <w:basedOn w:val="Normal"/>
    <w:link w:val="FooterChar"/>
    <w:uiPriority w:val="99"/>
    <w:unhideWhenUsed/>
    <w:rsid w:val="00AD0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76"/>
  </w:style>
  <w:style w:type="character" w:styleId="FollowedHyperlink">
    <w:name w:val="FollowedHyperlink"/>
    <w:basedOn w:val="DefaultParagraphFont"/>
    <w:uiPriority w:val="99"/>
    <w:semiHidden/>
    <w:unhideWhenUsed/>
    <w:rsid w:val="00556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8B10D-D8E9-49CC-943A-156882F1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Donald</cp:lastModifiedBy>
  <cp:revision>2</cp:revision>
  <dcterms:created xsi:type="dcterms:W3CDTF">2013-12-08T07:02:00Z</dcterms:created>
  <dcterms:modified xsi:type="dcterms:W3CDTF">2013-12-08T07:02:00Z</dcterms:modified>
</cp:coreProperties>
</file>